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719"/>
        <w:gridCol w:w="5501"/>
      </w:tblGrid>
      <w:tr w:rsidR="0060555F" w:rsidTr="008E7E07">
        <w:tc>
          <w:tcPr>
            <w:tcW w:w="8719" w:type="dxa"/>
            <w:shd w:val="clear" w:color="auto" w:fill="FFFF00"/>
          </w:tcPr>
          <w:p w:rsidR="0060555F" w:rsidRPr="008E7E07" w:rsidRDefault="0060555F">
            <w:pPr>
              <w:rPr>
                <w:sz w:val="20"/>
                <w:szCs w:val="20"/>
              </w:rPr>
            </w:pPr>
            <w:r w:rsidRPr="008E7E07">
              <w:rPr>
                <w:sz w:val="20"/>
                <w:szCs w:val="20"/>
              </w:rPr>
              <w:t>PROPOSTA</w:t>
            </w:r>
          </w:p>
        </w:tc>
        <w:tc>
          <w:tcPr>
            <w:tcW w:w="5501" w:type="dxa"/>
            <w:shd w:val="clear" w:color="auto" w:fill="FFFF00"/>
          </w:tcPr>
          <w:p w:rsidR="0060555F" w:rsidRPr="008E7E07" w:rsidRDefault="0060555F">
            <w:pPr>
              <w:rPr>
                <w:sz w:val="20"/>
                <w:szCs w:val="20"/>
              </w:rPr>
            </w:pPr>
            <w:r w:rsidRPr="008E7E07">
              <w:rPr>
                <w:sz w:val="20"/>
                <w:szCs w:val="20"/>
              </w:rPr>
              <w:t>RESUMO DO ASSUNTO</w:t>
            </w:r>
          </w:p>
        </w:tc>
      </w:tr>
      <w:tr w:rsidR="0060555F" w:rsidTr="008E7E07">
        <w:tc>
          <w:tcPr>
            <w:tcW w:w="8719" w:type="dxa"/>
          </w:tcPr>
          <w:p w:rsidR="0060555F" w:rsidRPr="008E7E07" w:rsidRDefault="0060555F" w:rsidP="008E7E07">
            <w:pPr>
              <w:jc w:val="both"/>
              <w:rPr>
                <w:rFonts w:cs="Arial"/>
                <w:sz w:val="20"/>
                <w:szCs w:val="20"/>
              </w:rPr>
            </w:pPr>
            <w:r w:rsidRPr="008E7E07">
              <w:rPr>
                <w:rFonts w:cs="Arial"/>
                <w:sz w:val="20"/>
                <w:szCs w:val="20"/>
              </w:rPr>
              <w:t>A Lei nº 10.406, de 10 de janeiro de 2002 - Código Civil</w:t>
            </w:r>
            <w:proofErr w:type="gramStart"/>
            <w:r w:rsidRPr="008E7E07">
              <w:rPr>
                <w:rFonts w:cs="Arial"/>
                <w:sz w:val="20"/>
                <w:szCs w:val="20"/>
              </w:rPr>
              <w:t>, passa</w:t>
            </w:r>
            <w:proofErr w:type="gramEnd"/>
            <w:r w:rsidRPr="008E7E07">
              <w:rPr>
                <w:rFonts w:cs="Arial"/>
                <w:sz w:val="20"/>
                <w:szCs w:val="20"/>
              </w:rPr>
              <w:t xml:space="preserve"> a vigorar com as seguintes alterações:</w:t>
            </w:r>
          </w:p>
          <w:p w:rsidR="0060555F" w:rsidRPr="008E7E07" w:rsidRDefault="0060555F" w:rsidP="008E7E07">
            <w:pPr>
              <w:ind w:left="1701"/>
              <w:jc w:val="both"/>
              <w:rPr>
                <w:rFonts w:cs="Arial"/>
                <w:sz w:val="20"/>
                <w:szCs w:val="20"/>
              </w:rPr>
            </w:pPr>
          </w:p>
          <w:p w:rsidR="0060555F" w:rsidRPr="008E7E07" w:rsidRDefault="0060555F" w:rsidP="008E7E07">
            <w:pPr>
              <w:ind w:left="1701"/>
              <w:jc w:val="both"/>
              <w:rPr>
                <w:rFonts w:cs="Arial"/>
                <w:sz w:val="20"/>
                <w:szCs w:val="20"/>
              </w:rPr>
            </w:pPr>
            <w:r w:rsidRPr="008E7E07">
              <w:rPr>
                <w:rFonts w:cs="Arial"/>
                <w:sz w:val="20"/>
                <w:szCs w:val="20"/>
              </w:rPr>
              <w:t>“</w:t>
            </w:r>
            <w:r w:rsidRPr="008E7E07">
              <w:rPr>
                <w:rFonts w:cs="Arial"/>
                <w:b/>
                <w:sz w:val="20"/>
                <w:szCs w:val="20"/>
              </w:rPr>
              <w:t xml:space="preserve">Art. </w:t>
            </w:r>
            <w:proofErr w:type="gramStart"/>
            <w:r w:rsidRPr="008E7E07">
              <w:rPr>
                <w:rFonts w:cs="Arial"/>
                <w:b/>
                <w:sz w:val="20"/>
                <w:szCs w:val="20"/>
              </w:rPr>
              <w:t>1.055.</w:t>
            </w:r>
            <w:r w:rsidRPr="008E7E07">
              <w:rPr>
                <w:rFonts w:cs="Arial"/>
                <w:sz w:val="20"/>
                <w:szCs w:val="20"/>
              </w:rPr>
              <w:t xml:space="preserve"> ...</w:t>
            </w:r>
            <w:proofErr w:type="gramEnd"/>
            <w:r w:rsidRPr="008E7E07">
              <w:rPr>
                <w:rFonts w:cs="Arial"/>
                <w:sz w:val="20"/>
                <w:szCs w:val="20"/>
              </w:rPr>
              <w:t>...................................................... ..............................</w:t>
            </w:r>
            <w:r w:rsidR="003433B7">
              <w:rPr>
                <w:rFonts w:cs="Arial"/>
                <w:sz w:val="20"/>
                <w:szCs w:val="20"/>
              </w:rPr>
              <w:t>..................</w:t>
            </w:r>
          </w:p>
          <w:p w:rsidR="0060555F" w:rsidRPr="008E7E07" w:rsidRDefault="0060555F" w:rsidP="003433B7">
            <w:pPr>
              <w:ind w:left="1701"/>
              <w:jc w:val="both"/>
              <w:rPr>
                <w:rFonts w:cs="Arial"/>
                <w:sz w:val="20"/>
                <w:szCs w:val="20"/>
              </w:rPr>
            </w:pPr>
            <w:r w:rsidRPr="008E7E07">
              <w:rPr>
                <w:rFonts w:cs="Arial"/>
                <w:sz w:val="20"/>
                <w:szCs w:val="20"/>
              </w:rPr>
              <w:t>§ 3º O contrato social pode ser composto por quotas de classes distintas, nas proporções e condições definidas no contrato social, que atribuam a seus titulares direitos econômicos e políticos diversos, podendo suprimir ou limitar o direito de voto pelo sócio titular de quotas preferenciais.</w:t>
            </w:r>
          </w:p>
          <w:p w:rsidR="0060555F" w:rsidRPr="008E7E07" w:rsidRDefault="0060555F" w:rsidP="003433B7">
            <w:pPr>
              <w:ind w:left="1701"/>
              <w:jc w:val="both"/>
              <w:rPr>
                <w:rFonts w:cs="Arial"/>
                <w:sz w:val="20"/>
                <w:szCs w:val="20"/>
              </w:rPr>
            </w:pPr>
            <w:r w:rsidRPr="008E7E07">
              <w:rPr>
                <w:rFonts w:cs="Arial"/>
                <w:sz w:val="20"/>
                <w:szCs w:val="20"/>
              </w:rPr>
              <w:t xml:space="preserve">§ 4º A sociedade limitada pode emitir debêntures em oferta privada, que conferirão aos titulares direito de crédito, nas condições estabelecidas na escritura de emissão e, se </w:t>
            </w:r>
            <w:proofErr w:type="gramStart"/>
            <w:r w:rsidRPr="008E7E07">
              <w:rPr>
                <w:rFonts w:cs="Arial"/>
                <w:sz w:val="20"/>
                <w:szCs w:val="20"/>
              </w:rPr>
              <w:t>houver,</w:t>
            </w:r>
            <w:proofErr w:type="gramEnd"/>
            <w:r w:rsidRPr="008E7E07">
              <w:rPr>
                <w:rFonts w:cs="Arial"/>
                <w:sz w:val="20"/>
                <w:szCs w:val="20"/>
              </w:rPr>
              <w:t xml:space="preserve"> do certificado.” (NR)</w:t>
            </w:r>
          </w:p>
          <w:p w:rsidR="0060555F" w:rsidRPr="008E7E07" w:rsidRDefault="0060555F" w:rsidP="008E7E07">
            <w:pPr>
              <w:jc w:val="both"/>
              <w:rPr>
                <w:sz w:val="20"/>
                <w:szCs w:val="20"/>
              </w:rPr>
            </w:pPr>
          </w:p>
        </w:tc>
        <w:tc>
          <w:tcPr>
            <w:tcW w:w="5501" w:type="dxa"/>
          </w:tcPr>
          <w:p w:rsidR="0060555F" w:rsidRPr="008E7E07" w:rsidRDefault="0060555F" w:rsidP="008E7E07">
            <w:pPr>
              <w:jc w:val="both"/>
              <w:rPr>
                <w:sz w:val="20"/>
                <w:szCs w:val="20"/>
              </w:rPr>
            </w:pPr>
            <w:r w:rsidRPr="008E7E07">
              <w:rPr>
                <w:sz w:val="20"/>
                <w:szCs w:val="20"/>
              </w:rPr>
              <w:t>- Emissão de debêntures por sociedades limitadas;</w:t>
            </w:r>
          </w:p>
        </w:tc>
      </w:tr>
      <w:tr w:rsidR="0060555F" w:rsidTr="008E7E07">
        <w:tc>
          <w:tcPr>
            <w:tcW w:w="8719" w:type="dxa"/>
          </w:tcPr>
          <w:p w:rsidR="0060555F" w:rsidRPr="008E7E07" w:rsidRDefault="0060555F" w:rsidP="008E7E07">
            <w:pPr>
              <w:pStyle w:val="CORPOPADRO"/>
              <w:ind w:firstLine="0"/>
              <w:rPr>
                <w:rFonts w:asciiTheme="minorHAnsi" w:hAnsiTheme="minorHAnsi"/>
                <w:sz w:val="20"/>
                <w:szCs w:val="20"/>
                <w:shd w:val="clear" w:color="auto" w:fill="FFFFFF"/>
              </w:rPr>
            </w:pPr>
            <w:r w:rsidRPr="008E7E07">
              <w:rPr>
                <w:rFonts w:asciiTheme="minorHAnsi" w:hAnsiTheme="minorHAnsi"/>
                <w:sz w:val="20"/>
                <w:szCs w:val="20"/>
              </w:rPr>
              <w:t xml:space="preserve">A </w:t>
            </w:r>
            <w:r w:rsidRPr="008E7E07">
              <w:rPr>
                <w:rFonts w:asciiTheme="minorHAnsi" w:hAnsiTheme="minorHAnsi"/>
                <w:sz w:val="20"/>
                <w:szCs w:val="20"/>
                <w:shd w:val="clear" w:color="auto" w:fill="FFFFFF"/>
              </w:rPr>
              <w:t>Lei nº 12.682, de 09 de julho de 2012, passa a vigorar com as seguintes alterações:</w:t>
            </w:r>
          </w:p>
          <w:p w:rsidR="0060555F" w:rsidRPr="008E7E07" w:rsidRDefault="0060555F" w:rsidP="003433B7">
            <w:pPr>
              <w:ind w:left="1701"/>
              <w:jc w:val="both"/>
              <w:rPr>
                <w:rFonts w:cs="Arial"/>
                <w:sz w:val="20"/>
                <w:szCs w:val="20"/>
              </w:rPr>
            </w:pPr>
            <w:proofErr w:type="gramStart"/>
            <w:r w:rsidRPr="008E7E07">
              <w:rPr>
                <w:rFonts w:cs="Arial"/>
                <w:sz w:val="20"/>
                <w:szCs w:val="20"/>
              </w:rPr>
              <w:t>“</w:t>
            </w:r>
            <w:r w:rsidRPr="008E7E07">
              <w:rPr>
                <w:rFonts w:cs="Arial"/>
                <w:b/>
                <w:sz w:val="20"/>
                <w:szCs w:val="20"/>
              </w:rPr>
              <w:t>Art. 4º-A.</w:t>
            </w:r>
            <w:proofErr w:type="gramEnd"/>
            <w:r w:rsidRPr="008E7E07">
              <w:rPr>
                <w:rFonts w:cs="Arial"/>
                <w:sz w:val="20"/>
                <w:szCs w:val="20"/>
              </w:rPr>
              <w:t xml:space="preserve"> Fica instituído o Documento Eletrônico de Transporte (</w:t>
            </w:r>
            <w:proofErr w:type="spellStart"/>
            <w:r w:rsidRPr="008E7E07">
              <w:rPr>
                <w:rFonts w:cs="Arial"/>
                <w:sz w:val="20"/>
                <w:szCs w:val="20"/>
              </w:rPr>
              <w:t>DT-e</w:t>
            </w:r>
            <w:proofErr w:type="spellEnd"/>
            <w:r w:rsidRPr="008E7E07">
              <w:rPr>
                <w:rFonts w:cs="Arial"/>
                <w:sz w:val="20"/>
                <w:szCs w:val="20"/>
              </w:rPr>
              <w:t>), de emissão obrigatória para todos os modos de transporte de coisas em todo o território nacional, na forma da Lei nº 10.406, de 10 de janeiro de 2002, como instrumento único de contrato de transporte e de meio de conciliação e liquidação do pagamento da contraprestação do serviço de transporte.</w:t>
            </w:r>
          </w:p>
          <w:p w:rsidR="0060555F" w:rsidRPr="008E7E07" w:rsidRDefault="0060555F" w:rsidP="003433B7">
            <w:pPr>
              <w:ind w:left="1701"/>
              <w:jc w:val="both"/>
              <w:rPr>
                <w:rFonts w:cs="Arial"/>
                <w:sz w:val="20"/>
                <w:szCs w:val="20"/>
              </w:rPr>
            </w:pPr>
            <w:r w:rsidRPr="008E7E07">
              <w:rPr>
                <w:rFonts w:cs="Arial"/>
                <w:sz w:val="20"/>
                <w:szCs w:val="20"/>
              </w:rPr>
              <w:t xml:space="preserve">§ 1º O </w:t>
            </w:r>
            <w:proofErr w:type="spellStart"/>
            <w:r w:rsidRPr="008E7E07">
              <w:rPr>
                <w:rFonts w:cs="Arial"/>
                <w:sz w:val="20"/>
                <w:szCs w:val="20"/>
              </w:rPr>
              <w:t>DT-e</w:t>
            </w:r>
            <w:proofErr w:type="spellEnd"/>
            <w:r w:rsidRPr="008E7E07">
              <w:rPr>
                <w:rFonts w:cs="Arial"/>
                <w:sz w:val="20"/>
                <w:szCs w:val="20"/>
              </w:rPr>
              <w:t xml:space="preserve"> será o documento único que caracteriza a operação de transporte, contendo todos os dados tributários, logísticos, comerciais, financeiros, sanitários e demais obrigações acessórias regulamentadas pelos órgãos e entidades intervenientes no transporte, nas esferas federal, estadual e municipal.</w:t>
            </w:r>
          </w:p>
          <w:p w:rsidR="0060555F" w:rsidRPr="008E7E07" w:rsidRDefault="0060555F" w:rsidP="003433B7">
            <w:pPr>
              <w:ind w:left="1701"/>
              <w:jc w:val="both"/>
              <w:rPr>
                <w:rFonts w:cs="Arial"/>
                <w:sz w:val="20"/>
                <w:szCs w:val="20"/>
              </w:rPr>
            </w:pPr>
            <w:r w:rsidRPr="008E7E07">
              <w:rPr>
                <w:rFonts w:cs="Arial"/>
                <w:sz w:val="20"/>
                <w:szCs w:val="20"/>
              </w:rPr>
              <w:t xml:space="preserve">§ 2º É obrigação do transportador a emissão prévia do </w:t>
            </w:r>
            <w:proofErr w:type="spellStart"/>
            <w:r w:rsidRPr="008E7E07">
              <w:rPr>
                <w:rFonts w:cs="Arial"/>
                <w:sz w:val="20"/>
                <w:szCs w:val="20"/>
              </w:rPr>
              <w:t>DT-e</w:t>
            </w:r>
            <w:proofErr w:type="spellEnd"/>
            <w:r w:rsidRPr="008E7E07">
              <w:rPr>
                <w:rFonts w:cs="Arial"/>
                <w:sz w:val="20"/>
                <w:szCs w:val="20"/>
              </w:rPr>
              <w:t xml:space="preserve"> à execução da operação de transporte, para cada contrato de transporte, operação de transporte de coisa própria ou de pessoas, nos termos do art. 736 da Lei nº 10.406, de 10 de janeiro de 2002.</w:t>
            </w:r>
          </w:p>
          <w:p w:rsidR="0060555F" w:rsidRPr="008E7E07" w:rsidRDefault="0060555F" w:rsidP="003433B7">
            <w:pPr>
              <w:ind w:left="1701"/>
              <w:jc w:val="both"/>
              <w:rPr>
                <w:rFonts w:cs="Arial"/>
                <w:sz w:val="20"/>
                <w:szCs w:val="20"/>
              </w:rPr>
            </w:pPr>
            <w:r w:rsidRPr="008E7E07">
              <w:rPr>
                <w:rFonts w:cs="Arial"/>
                <w:sz w:val="20"/>
                <w:szCs w:val="20"/>
              </w:rPr>
              <w:t xml:space="preserve">§ 3º Será emitido um único </w:t>
            </w:r>
            <w:proofErr w:type="spellStart"/>
            <w:r w:rsidRPr="008E7E07">
              <w:rPr>
                <w:rFonts w:cs="Arial"/>
                <w:sz w:val="20"/>
                <w:szCs w:val="20"/>
              </w:rPr>
              <w:t>DT-e</w:t>
            </w:r>
            <w:proofErr w:type="spellEnd"/>
            <w:r w:rsidRPr="008E7E07">
              <w:rPr>
                <w:rFonts w:cs="Arial"/>
                <w:sz w:val="20"/>
                <w:szCs w:val="20"/>
              </w:rPr>
              <w:t xml:space="preserve"> no caso de transporte realizado por Operador do Transporte Multimodal, nos termos do art. 5º da Lei nº 9.611, de 19 de fevereiro de 1998.</w:t>
            </w:r>
          </w:p>
          <w:p w:rsidR="0060555F" w:rsidRPr="008E7E07" w:rsidRDefault="0060555F" w:rsidP="003433B7">
            <w:pPr>
              <w:ind w:left="1701"/>
              <w:jc w:val="both"/>
              <w:rPr>
                <w:rFonts w:cs="Arial"/>
                <w:sz w:val="20"/>
                <w:szCs w:val="20"/>
              </w:rPr>
            </w:pPr>
            <w:r w:rsidRPr="008E7E07">
              <w:rPr>
                <w:rFonts w:cs="Arial"/>
                <w:sz w:val="20"/>
                <w:szCs w:val="20"/>
              </w:rPr>
              <w:t xml:space="preserve">§ 4º O </w:t>
            </w:r>
            <w:proofErr w:type="spellStart"/>
            <w:r w:rsidRPr="008E7E07">
              <w:rPr>
                <w:rFonts w:cs="Arial"/>
                <w:sz w:val="20"/>
                <w:szCs w:val="20"/>
              </w:rPr>
              <w:t>DT-e</w:t>
            </w:r>
            <w:proofErr w:type="spellEnd"/>
            <w:r w:rsidRPr="008E7E07">
              <w:rPr>
                <w:rFonts w:cs="Arial"/>
                <w:sz w:val="20"/>
                <w:szCs w:val="20"/>
              </w:rPr>
              <w:t xml:space="preserve"> somente poderá ser gerado por instituições integrantes do sistema financeiro nacional, instituidoras de arranjos de pagamento ou instituições de pagamento, nos termos da Lei nº 12.865, de </w:t>
            </w:r>
            <w:proofErr w:type="gramStart"/>
            <w:r w:rsidRPr="008E7E07">
              <w:rPr>
                <w:rFonts w:cs="Arial"/>
                <w:sz w:val="20"/>
                <w:szCs w:val="20"/>
              </w:rPr>
              <w:t>9</w:t>
            </w:r>
            <w:proofErr w:type="gramEnd"/>
            <w:r w:rsidRPr="008E7E07">
              <w:rPr>
                <w:rFonts w:cs="Arial"/>
                <w:sz w:val="20"/>
                <w:szCs w:val="20"/>
              </w:rPr>
              <w:t xml:space="preserve"> de outubro de 2013, denominadas instituições geradoras do </w:t>
            </w:r>
            <w:proofErr w:type="spellStart"/>
            <w:r w:rsidRPr="008E7E07">
              <w:rPr>
                <w:rFonts w:cs="Arial"/>
                <w:sz w:val="20"/>
                <w:szCs w:val="20"/>
              </w:rPr>
              <w:t>DT-e</w:t>
            </w:r>
            <w:proofErr w:type="spellEnd"/>
            <w:r w:rsidRPr="008E7E07">
              <w:rPr>
                <w:rFonts w:cs="Arial"/>
                <w:sz w:val="20"/>
                <w:szCs w:val="20"/>
              </w:rPr>
              <w:t>.</w:t>
            </w:r>
          </w:p>
          <w:p w:rsidR="0060555F" w:rsidRPr="008E7E07" w:rsidRDefault="0060555F" w:rsidP="003433B7">
            <w:pPr>
              <w:ind w:left="1701"/>
              <w:jc w:val="both"/>
              <w:rPr>
                <w:rFonts w:cs="Arial"/>
                <w:sz w:val="20"/>
                <w:szCs w:val="20"/>
              </w:rPr>
            </w:pPr>
            <w:r w:rsidRPr="008E7E07">
              <w:rPr>
                <w:rFonts w:cs="Arial"/>
                <w:sz w:val="20"/>
                <w:szCs w:val="20"/>
              </w:rPr>
              <w:lastRenderedPageBreak/>
              <w:t xml:space="preserve">§ 5º As instituições geradoras do </w:t>
            </w:r>
            <w:proofErr w:type="spellStart"/>
            <w:r w:rsidRPr="008E7E07">
              <w:rPr>
                <w:rFonts w:cs="Arial"/>
                <w:sz w:val="20"/>
                <w:szCs w:val="20"/>
              </w:rPr>
              <w:t>DT-e</w:t>
            </w:r>
            <w:proofErr w:type="spellEnd"/>
            <w:r w:rsidRPr="008E7E07">
              <w:rPr>
                <w:rFonts w:cs="Arial"/>
                <w:sz w:val="20"/>
                <w:szCs w:val="20"/>
              </w:rPr>
              <w:t xml:space="preserve"> deverão disponibilizar e transmitir ao Ministério da Infraestrutura os dados e informações constantes do </w:t>
            </w:r>
            <w:proofErr w:type="spellStart"/>
            <w:r w:rsidRPr="008E7E07">
              <w:rPr>
                <w:rFonts w:cs="Arial"/>
                <w:sz w:val="20"/>
                <w:szCs w:val="20"/>
              </w:rPr>
              <w:t>DT-e</w:t>
            </w:r>
            <w:proofErr w:type="spellEnd"/>
            <w:r w:rsidRPr="008E7E07">
              <w:rPr>
                <w:rFonts w:cs="Arial"/>
                <w:sz w:val="20"/>
                <w:szCs w:val="20"/>
              </w:rPr>
              <w:t>.</w:t>
            </w:r>
          </w:p>
          <w:p w:rsidR="0060555F" w:rsidRPr="008E7E07" w:rsidRDefault="0060555F" w:rsidP="003433B7">
            <w:pPr>
              <w:ind w:left="1701"/>
              <w:jc w:val="both"/>
              <w:rPr>
                <w:rFonts w:cs="Arial"/>
                <w:sz w:val="20"/>
                <w:szCs w:val="20"/>
              </w:rPr>
            </w:pPr>
            <w:r w:rsidRPr="008E7E07">
              <w:rPr>
                <w:rFonts w:cs="Arial"/>
                <w:sz w:val="20"/>
                <w:szCs w:val="20"/>
              </w:rPr>
              <w:t xml:space="preserve">§ 6º Compete ao Ministério da Infraestrutura regulamentar o </w:t>
            </w:r>
            <w:proofErr w:type="spellStart"/>
            <w:r w:rsidRPr="008E7E07">
              <w:rPr>
                <w:rFonts w:cs="Arial"/>
                <w:sz w:val="20"/>
                <w:szCs w:val="20"/>
              </w:rPr>
              <w:t>DT-e</w:t>
            </w:r>
            <w:proofErr w:type="spellEnd"/>
            <w:r w:rsidRPr="008E7E07">
              <w:rPr>
                <w:rFonts w:cs="Arial"/>
                <w:sz w:val="20"/>
                <w:szCs w:val="20"/>
              </w:rPr>
              <w:t xml:space="preserve"> e gerir os dados, informações e eventos nele registrados, bem como a coleta, processamento, armazenagem, integração e disponibilização aos demais órgãos e entidades intervenientes no transporte, nas esferas federal, estadual e municipal.</w:t>
            </w:r>
          </w:p>
          <w:p w:rsidR="0060555F" w:rsidRPr="008E7E07" w:rsidRDefault="0060555F" w:rsidP="003433B7">
            <w:pPr>
              <w:ind w:left="1701"/>
              <w:jc w:val="both"/>
              <w:rPr>
                <w:rFonts w:cs="Arial"/>
                <w:sz w:val="20"/>
                <w:szCs w:val="20"/>
              </w:rPr>
            </w:pPr>
            <w:r w:rsidRPr="008E7E07">
              <w:rPr>
                <w:rFonts w:cs="Arial"/>
                <w:sz w:val="20"/>
                <w:szCs w:val="20"/>
              </w:rPr>
              <w:t>§ 7º O Ministério da Infraestrutura poderá executar direta ou indiretamente as competências de que trata o § 6º, observadas as disposições da Lei nº 8.987, de 13 de fevereiro de 1995, ou delegá-las às suas entidades vinculadas.</w:t>
            </w:r>
          </w:p>
          <w:p w:rsidR="0060555F" w:rsidRPr="008E7E07" w:rsidRDefault="0060555F" w:rsidP="003433B7">
            <w:pPr>
              <w:pStyle w:val="TRANSCRIOLEI"/>
              <w:ind w:left="1701"/>
              <w:rPr>
                <w:rFonts w:asciiTheme="minorHAnsi" w:hAnsiTheme="minorHAnsi"/>
                <w:sz w:val="20"/>
                <w:szCs w:val="20"/>
                <w:shd w:val="clear" w:color="auto" w:fill="FFFFFF"/>
              </w:rPr>
            </w:pPr>
            <w:r w:rsidRPr="008E7E07">
              <w:rPr>
                <w:rFonts w:asciiTheme="minorHAnsi" w:hAnsiTheme="minorHAnsi" w:cs="Arial"/>
                <w:sz w:val="20"/>
                <w:szCs w:val="20"/>
              </w:rPr>
              <w:t xml:space="preserve">§ 8º O </w:t>
            </w:r>
            <w:proofErr w:type="spellStart"/>
            <w:r w:rsidRPr="008E7E07">
              <w:rPr>
                <w:rFonts w:asciiTheme="minorHAnsi" w:hAnsiTheme="minorHAnsi" w:cs="Arial"/>
                <w:sz w:val="20"/>
                <w:szCs w:val="20"/>
              </w:rPr>
              <w:t>DT-e</w:t>
            </w:r>
            <w:proofErr w:type="spellEnd"/>
            <w:r w:rsidRPr="008E7E07">
              <w:rPr>
                <w:rFonts w:asciiTheme="minorHAnsi" w:hAnsiTheme="minorHAnsi" w:cs="Arial"/>
                <w:sz w:val="20"/>
                <w:szCs w:val="20"/>
              </w:rPr>
              <w:t xml:space="preserve"> será implantado em todo território nacional na forma e no cronograma a serem publicados pelo Ministério da Infraestrutura, a partir de 1º de janeiro de 2020, quando ficará revogado o artigo 5º-A da Lei nº 11.442, de </w:t>
            </w:r>
            <w:proofErr w:type="gramStart"/>
            <w:r w:rsidRPr="008E7E07">
              <w:rPr>
                <w:rFonts w:asciiTheme="minorHAnsi" w:hAnsiTheme="minorHAnsi" w:cs="Arial"/>
                <w:sz w:val="20"/>
                <w:szCs w:val="20"/>
              </w:rPr>
              <w:t>5</w:t>
            </w:r>
            <w:proofErr w:type="gramEnd"/>
            <w:r w:rsidRPr="008E7E07">
              <w:rPr>
                <w:rFonts w:asciiTheme="minorHAnsi" w:hAnsiTheme="minorHAnsi" w:cs="Arial"/>
                <w:sz w:val="20"/>
                <w:szCs w:val="20"/>
              </w:rPr>
              <w:t xml:space="preserve"> de janeiro de 2007.” (AC)</w:t>
            </w:r>
          </w:p>
          <w:p w:rsidR="0060555F" w:rsidRPr="008E7E07" w:rsidRDefault="0060555F" w:rsidP="008E7E07">
            <w:pPr>
              <w:jc w:val="both"/>
              <w:rPr>
                <w:sz w:val="20"/>
                <w:szCs w:val="20"/>
              </w:rPr>
            </w:pPr>
          </w:p>
        </w:tc>
        <w:tc>
          <w:tcPr>
            <w:tcW w:w="5501" w:type="dxa"/>
          </w:tcPr>
          <w:p w:rsidR="0060555F" w:rsidRPr="008E7E07" w:rsidRDefault="0060555F" w:rsidP="008E7E07">
            <w:pPr>
              <w:jc w:val="both"/>
              <w:rPr>
                <w:sz w:val="20"/>
                <w:szCs w:val="20"/>
              </w:rPr>
            </w:pPr>
            <w:r w:rsidRPr="008E7E07">
              <w:rPr>
                <w:sz w:val="20"/>
                <w:szCs w:val="20"/>
              </w:rPr>
              <w:lastRenderedPageBreak/>
              <w:t>- Institui o Documento Eletrônico de Trans</w:t>
            </w:r>
            <w:bookmarkStart w:id="0" w:name="_GoBack"/>
            <w:bookmarkEnd w:id="0"/>
            <w:r w:rsidRPr="008E7E07">
              <w:rPr>
                <w:sz w:val="20"/>
                <w:szCs w:val="20"/>
              </w:rPr>
              <w:t>porte (</w:t>
            </w:r>
            <w:proofErr w:type="spellStart"/>
            <w:r w:rsidRPr="008E7E07">
              <w:rPr>
                <w:sz w:val="20"/>
                <w:szCs w:val="20"/>
              </w:rPr>
              <w:t>DT-e</w:t>
            </w:r>
            <w:proofErr w:type="spellEnd"/>
            <w:r w:rsidRPr="008E7E07">
              <w:rPr>
                <w:sz w:val="20"/>
                <w:szCs w:val="20"/>
              </w:rPr>
              <w:t>);</w:t>
            </w:r>
          </w:p>
        </w:tc>
      </w:tr>
      <w:tr w:rsidR="0060555F" w:rsidTr="008E7E07">
        <w:tc>
          <w:tcPr>
            <w:tcW w:w="8719" w:type="dxa"/>
          </w:tcPr>
          <w:p w:rsidR="0060555F" w:rsidRPr="008E7E07" w:rsidRDefault="0060555F" w:rsidP="008E7E07">
            <w:pPr>
              <w:pStyle w:val="CORPOPADRO"/>
              <w:ind w:firstLine="0"/>
              <w:rPr>
                <w:rFonts w:asciiTheme="minorHAnsi" w:hAnsiTheme="minorHAnsi"/>
                <w:sz w:val="20"/>
                <w:szCs w:val="20"/>
                <w:shd w:val="clear" w:color="auto" w:fill="FFFFFF"/>
              </w:rPr>
            </w:pPr>
            <w:r w:rsidRPr="008E7E07">
              <w:rPr>
                <w:rFonts w:asciiTheme="minorHAnsi" w:hAnsiTheme="minorHAnsi"/>
                <w:sz w:val="20"/>
                <w:szCs w:val="20"/>
              </w:rPr>
              <w:lastRenderedPageBreak/>
              <w:t xml:space="preserve">A </w:t>
            </w:r>
            <w:r w:rsidRPr="008E7E07">
              <w:rPr>
                <w:rFonts w:asciiTheme="minorHAnsi" w:hAnsiTheme="minorHAnsi"/>
                <w:sz w:val="20"/>
                <w:szCs w:val="20"/>
                <w:shd w:val="clear" w:color="auto" w:fill="FFFFFF"/>
              </w:rPr>
              <w:t>Lei nº 4.504, de 30 de novembro de 1964, passa a vigorar com as seguintes alterações:</w:t>
            </w:r>
          </w:p>
          <w:p w:rsidR="0060555F" w:rsidRPr="008E7E07" w:rsidRDefault="0060555F" w:rsidP="003433B7">
            <w:pPr>
              <w:ind w:left="1701"/>
              <w:jc w:val="both"/>
              <w:rPr>
                <w:rFonts w:cs="Arial"/>
                <w:sz w:val="20"/>
                <w:szCs w:val="20"/>
              </w:rPr>
            </w:pPr>
            <w:proofErr w:type="gramStart"/>
            <w:r w:rsidRPr="008E7E07">
              <w:rPr>
                <w:rFonts w:cs="Arial"/>
                <w:sz w:val="20"/>
                <w:szCs w:val="20"/>
              </w:rPr>
              <w:t>“</w:t>
            </w:r>
            <w:r w:rsidRPr="008E7E07">
              <w:rPr>
                <w:rFonts w:cs="Arial"/>
                <w:b/>
                <w:sz w:val="20"/>
                <w:szCs w:val="20"/>
              </w:rPr>
              <w:t>Art. 92.</w:t>
            </w:r>
            <w:proofErr w:type="gramEnd"/>
            <w:r w:rsidRPr="008E7E07">
              <w:rPr>
                <w:rFonts w:cs="Arial"/>
                <w:sz w:val="20"/>
                <w:szCs w:val="20"/>
              </w:rPr>
              <w:t xml:space="preserve"> A posse ou uso temporário da terra serão exercidos em virtude de contrato expresso ou tácito, estabelecido entre o proprietário e os que nela exercem atividade agrícola ou pecuária, sob forma de arrendamento rural, de parceria agrícola, pecuária, agroindustrial e extrativa, nos termos desta Lei.</w:t>
            </w:r>
          </w:p>
          <w:p w:rsidR="0060555F" w:rsidRPr="008E7E07" w:rsidRDefault="0060555F" w:rsidP="003433B7">
            <w:pPr>
              <w:ind w:left="1701"/>
              <w:jc w:val="both"/>
              <w:rPr>
                <w:rFonts w:cs="Arial"/>
                <w:sz w:val="20"/>
                <w:szCs w:val="20"/>
              </w:rPr>
            </w:pPr>
            <w:proofErr w:type="gramStart"/>
            <w:r w:rsidRPr="008E7E07">
              <w:rPr>
                <w:rFonts w:cs="Arial"/>
                <w:sz w:val="20"/>
                <w:szCs w:val="20"/>
              </w:rPr>
              <w:t>.................................................</w:t>
            </w:r>
            <w:proofErr w:type="gramEnd"/>
          </w:p>
          <w:p w:rsidR="0060555F" w:rsidRDefault="0060555F" w:rsidP="003433B7">
            <w:pPr>
              <w:ind w:left="1701"/>
              <w:jc w:val="both"/>
              <w:rPr>
                <w:rFonts w:cs="Arial"/>
                <w:sz w:val="20"/>
                <w:szCs w:val="20"/>
              </w:rPr>
            </w:pPr>
            <w:r w:rsidRPr="008E7E07">
              <w:rPr>
                <w:rFonts w:cs="Arial"/>
                <w:sz w:val="20"/>
                <w:szCs w:val="20"/>
              </w:rPr>
              <w:t xml:space="preserve">§ 10. </w:t>
            </w:r>
            <w:proofErr w:type="gramStart"/>
            <w:r w:rsidRPr="008E7E07">
              <w:rPr>
                <w:rFonts w:cs="Arial"/>
                <w:sz w:val="20"/>
                <w:szCs w:val="20"/>
              </w:rPr>
              <w:t>Prevalece a autonomia privada nos contratos agrários, exceto quando uma das partes se enquadre no conceito de agricultor familiar e empreendedor familiar rural, conforme previsto o art. 3º da Lei 11.326, de 24 de julho de 2006.”</w:t>
            </w:r>
            <w:proofErr w:type="gramEnd"/>
            <w:r w:rsidRPr="008E7E07">
              <w:rPr>
                <w:rFonts w:cs="Arial"/>
                <w:sz w:val="20"/>
                <w:szCs w:val="20"/>
              </w:rPr>
              <w:t xml:space="preserve"> (NR)</w:t>
            </w:r>
          </w:p>
          <w:p w:rsidR="003433B7" w:rsidRPr="008E7E07" w:rsidRDefault="003433B7" w:rsidP="008E7E07">
            <w:pPr>
              <w:ind w:left="2268"/>
              <w:jc w:val="both"/>
              <w:rPr>
                <w:sz w:val="20"/>
                <w:szCs w:val="20"/>
              </w:rPr>
            </w:pPr>
          </w:p>
        </w:tc>
        <w:tc>
          <w:tcPr>
            <w:tcW w:w="5501" w:type="dxa"/>
          </w:tcPr>
          <w:p w:rsidR="0060555F" w:rsidRPr="008E7E07" w:rsidRDefault="0060555F" w:rsidP="008E7E07">
            <w:pPr>
              <w:jc w:val="both"/>
              <w:rPr>
                <w:sz w:val="20"/>
                <w:szCs w:val="20"/>
              </w:rPr>
            </w:pPr>
            <w:r w:rsidRPr="008E7E07">
              <w:rPr>
                <w:sz w:val="20"/>
                <w:szCs w:val="20"/>
              </w:rPr>
              <w:t>- Autonomia privada dos contratos agrários, exceto quando presente a condição/conceito de agricultor familiar;</w:t>
            </w:r>
          </w:p>
        </w:tc>
      </w:tr>
      <w:tr w:rsidR="0060555F" w:rsidTr="008E7E07">
        <w:tc>
          <w:tcPr>
            <w:tcW w:w="8719" w:type="dxa"/>
          </w:tcPr>
          <w:p w:rsidR="00213564" w:rsidRPr="008E7E07" w:rsidRDefault="00213564" w:rsidP="008E7E07">
            <w:pPr>
              <w:pStyle w:val="CORPOPADRO"/>
              <w:ind w:firstLine="0"/>
              <w:rPr>
                <w:rFonts w:asciiTheme="minorHAnsi" w:hAnsiTheme="minorHAnsi"/>
                <w:sz w:val="20"/>
                <w:szCs w:val="20"/>
                <w:shd w:val="clear" w:color="auto" w:fill="FFFFFF"/>
              </w:rPr>
            </w:pPr>
            <w:r w:rsidRPr="008E7E07">
              <w:rPr>
                <w:rFonts w:asciiTheme="minorHAnsi" w:hAnsiTheme="minorHAnsi"/>
                <w:sz w:val="20"/>
                <w:szCs w:val="20"/>
              </w:rPr>
              <w:t xml:space="preserve">A </w:t>
            </w:r>
            <w:r w:rsidRPr="008E7E07">
              <w:rPr>
                <w:rFonts w:asciiTheme="minorHAnsi" w:hAnsiTheme="minorHAnsi"/>
                <w:sz w:val="20"/>
                <w:szCs w:val="20"/>
                <w:shd w:val="clear" w:color="auto" w:fill="FFFFFF"/>
              </w:rPr>
              <w:t>Lei nº 7.798, de 10 de julho de 1989, passa a vigorar com as seguintes alterações:</w:t>
            </w:r>
          </w:p>
          <w:p w:rsidR="00213564" w:rsidRPr="008E7E07" w:rsidRDefault="00213564" w:rsidP="003433B7">
            <w:pPr>
              <w:ind w:left="1701"/>
              <w:jc w:val="both"/>
              <w:rPr>
                <w:rFonts w:cs="Arial"/>
                <w:sz w:val="20"/>
                <w:szCs w:val="20"/>
              </w:rPr>
            </w:pPr>
            <w:r w:rsidRPr="008E7E07">
              <w:rPr>
                <w:rFonts w:cs="Arial"/>
                <w:sz w:val="20"/>
                <w:szCs w:val="20"/>
              </w:rPr>
              <w:t>“</w:t>
            </w:r>
            <w:r w:rsidRPr="008E7E07">
              <w:rPr>
                <w:rFonts w:cs="Arial"/>
                <w:b/>
                <w:sz w:val="20"/>
                <w:szCs w:val="20"/>
              </w:rPr>
              <w:t>Art. 15-A.</w:t>
            </w:r>
            <w:r w:rsidRPr="008E7E07">
              <w:rPr>
                <w:rFonts w:cs="Arial"/>
                <w:sz w:val="20"/>
                <w:szCs w:val="20"/>
              </w:rPr>
              <w:t xml:space="preserve"> Não perde a isenção do Imposto sobre Produtos Industrializados (IPI) de que tratam o art. 4º da Lei nº 7.965, de 22 de dezembro de 1989, o art. 6º da Lei nº 8.210, de 19 de julho de 1991, o art. 7º da Lei nº 8.256, de 25 de novembro de 1991, e o art. 7º da Lei nº 8.857, de </w:t>
            </w:r>
            <w:proofErr w:type="gramStart"/>
            <w:r w:rsidRPr="008E7E07">
              <w:rPr>
                <w:rFonts w:cs="Arial"/>
                <w:sz w:val="20"/>
                <w:szCs w:val="20"/>
              </w:rPr>
              <w:t>8</w:t>
            </w:r>
            <w:proofErr w:type="gramEnd"/>
            <w:r w:rsidRPr="008E7E07">
              <w:rPr>
                <w:rFonts w:cs="Arial"/>
                <w:sz w:val="20"/>
                <w:szCs w:val="20"/>
              </w:rPr>
              <w:t xml:space="preserve"> de março de 1994, os produtos nacionais ou nacionalizados que saírem temporariamente das áreas de livre comércio para outros municípios dentro do mesmo Estado em que localizadas essas áreas.</w:t>
            </w:r>
          </w:p>
          <w:p w:rsidR="00213564" w:rsidRPr="008E7E07" w:rsidRDefault="00213564" w:rsidP="003433B7">
            <w:pPr>
              <w:ind w:left="1701"/>
              <w:jc w:val="both"/>
              <w:rPr>
                <w:rFonts w:cs="Arial"/>
                <w:sz w:val="20"/>
                <w:szCs w:val="20"/>
              </w:rPr>
            </w:pPr>
            <w:r w:rsidRPr="008E7E07">
              <w:rPr>
                <w:rFonts w:cs="Arial"/>
                <w:sz w:val="20"/>
                <w:szCs w:val="20"/>
              </w:rPr>
              <w:t xml:space="preserve">§ 1º Fica dispensada a apresentação pelos contribuintes de declarações à </w:t>
            </w:r>
            <w:r w:rsidRPr="008E7E07">
              <w:rPr>
                <w:rFonts w:cs="Arial"/>
                <w:sz w:val="20"/>
                <w:szCs w:val="20"/>
              </w:rPr>
              <w:lastRenderedPageBreak/>
              <w:t xml:space="preserve">Secretaria Especial da Receita Federal do Brasil ou quaisquer outras obrigações acessórias para as saídas, por até 90 (noventa) dias, de que trata o </w:t>
            </w:r>
            <w:r w:rsidRPr="008E7E07">
              <w:rPr>
                <w:rFonts w:cs="Arial"/>
                <w:b/>
                <w:sz w:val="20"/>
                <w:szCs w:val="20"/>
              </w:rPr>
              <w:t>caput</w:t>
            </w:r>
            <w:r w:rsidRPr="008E7E07">
              <w:rPr>
                <w:rFonts w:cs="Arial"/>
                <w:sz w:val="20"/>
                <w:szCs w:val="20"/>
              </w:rPr>
              <w:t>.</w:t>
            </w:r>
          </w:p>
          <w:p w:rsidR="00213564" w:rsidRPr="008E7E07" w:rsidRDefault="00213564" w:rsidP="003433B7">
            <w:pPr>
              <w:ind w:left="1701"/>
              <w:jc w:val="both"/>
              <w:rPr>
                <w:rFonts w:cs="Arial"/>
                <w:sz w:val="20"/>
                <w:szCs w:val="20"/>
              </w:rPr>
            </w:pPr>
            <w:r w:rsidRPr="008E7E07">
              <w:rPr>
                <w:rFonts w:cs="Arial"/>
                <w:sz w:val="20"/>
                <w:szCs w:val="20"/>
              </w:rPr>
              <w:t xml:space="preserve">§ </w:t>
            </w:r>
            <w:proofErr w:type="gramStart"/>
            <w:r w:rsidRPr="008E7E07">
              <w:rPr>
                <w:rFonts w:cs="Arial"/>
                <w:sz w:val="20"/>
                <w:szCs w:val="20"/>
              </w:rPr>
              <w:t>2º São consideradas interpretativas, nos termos do inciso I do art. 106 da Lei nº 5.172, de 25 de outubro de 1966, as regras estabelecidas neste artigo.”</w:t>
            </w:r>
            <w:proofErr w:type="gramEnd"/>
            <w:r w:rsidRPr="008E7E07">
              <w:rPr>
                <w:rFonts w:cs="Arial"/>
                <w:sz w:val="20"/>
                <w:szCs w:val="20"/>
              </w:rPr>
              <w:t xml:space="preserve"> (NR)</w:t>
            </w:r>
          </w:p>
          <w:p w:rsidR="0060555F" w:rsidRPr="008E7E07" w:rsidRDefault="0060555F" w:rsidP="008E7E07">
            <w:pPr>
              <w:jc w:val="both"/>
              <w:rPr>
                <w:sz w:val="20"/>
                <w:szCs w:val="20"/>
              </w:rPr>
            </w:pPr>
          </w:p>
        </w:tc>
        <w:tc>
          <w:tcPr>
            <w:tcW w:w="5501" w:type="dxa"/>
          </w:tcPr>
          <w:p w:rsidR="00213564" w:rsidRPr="008E7E07" w:rsidRDefault="00213564" w:rsidP="008E7E07">
            <w:pPr>
              <w:pStyle w:val="EMENTA"/>
              <w:widowControl/>
              <w:spacing w:before="0" w:after="0"/>
              <w:ind w:left="0" w:firstLine="0"/>
              <w:rPr>
                <w:rFonts w:asciiTheme="minorHAnsi" w:hAnsiTheme="minorHAnsi"/>
                <w:sz w:val="20"/>
                <w:szCs w:val="20"/>
              </w:rPr>
            </w:pPr>
            <w:r w:rsidRPr="008E7E07">
              <w:rPr>
                <w:rFonts w:asciiTheme="minorHAnsi" w:hAnsiTheme="minorHAnsi"/>
                <w:sz w:val="20"/>
                <w:szCs w:val="20"/>
              </w:rPr>
              <w:lastRenderedPageBreak/>
              <w:t>- D</w:t>
            </w:r>
            <w:r w:rsidRPr="008E7E07">
              <w:rPr>
                <w:rFonts w:asciiTheme="minorHAnsi" w:hAnsiTheme="minorHAnsi"/>
                <w:sz w:val="20"/>
                <w:szCs w:val="20"/>
              </w:rPr>
              <w:t>ispensa da apresentação da declaração de saída temporária nos municípios contíguos às áreas de livre comércio.</w:t>
            </w:r>
            <w:r w:rsidRPr="008E7E07">
              <w:rPr>
                <w:rFonts w:asciiTheme="minorHAnsi" w:hAnsiTheme="minorHAnsi"/>
                <w:sz w:val="20"/>
                <w:szCs w:val="20"/>
                <w:shd w:val="clear" w:color="auto" w:fill="FFFFFF"/>
              </w:rPr>
              <w:t xml:space="preserve"> </w:t>
            </w:r>
          </w:p>
          <w:p w:rsidR="0060555F" w:rsidRPr="008E7E07" w:rsidRDefault="0060555F" w:rsidP="008E7E07">
            <w:pPr>
              <w:jc w:val="both"/>
              <w:rPr>
                <w:sz w:val="20"/>
                <w:szCs w:val="20"/>
              </w:rPr>
            </w:pPr>
          </w:p>
        </w:tc>
      </w:tr>
      <w:tr w:rsidR="0060555F" w:rsidTr="008E7E07">
        <w:tc>
          <w:tcPr>
            <w:tcW w:w="8719" w:type="dxa"/>
          </w:tcPr>
          <w:p w:rsidR="00213564" w:rsidRPr="008E7E07" w:rsidRDefault="00213564" w:rsidP="008E7E07">
            <w:pPr>
              <w:pStyle w:val="CORPOPADRO"/>
              <w:ind w:firstLine="0"/>
              <w:rPr>
                <w:rFonts w:asciiTheme="minorHAnsi" w:hAnsiTheme="minorHAnsi"/>
                <w:sz w:val="20"/>
                <w:szCs w:val="20"/>
                <w:shd w:val="clear" w:color="auto" w:fill="FFFFFF"/>
              </w:rPr>
            </w:pPr>
            <w:r w:rsidRPr="008E7E07">
              <w:rPr>
                <w:rFonts w:asciiTheme="minorHAnsi" w:hAnsiTheme="minorHAnsi"/>
                <w:sz w:val="20"/>
                <w:szCs w:val="20"/>
              </w:rPr>
              <w:lastRenderedPageBreak/>
              <w:t xml:space="preserve">A </w:t>
            </w:r>
            <w:r w:rsidRPr="008E7E07">
              <w:rPr>
                <w:rFonts w:asciiTheme="minorHAnsi" w:hAnsiTheme="minorHAnsi"/>
                <w:sz w:val="20"/>
                <w:szCs w:val="20"/>
                <w:shd w:val="clear" w:color="auto" w:fill="FFFFFF"/>
              </w:rPr>
              <w:t>Lei nº 6.015, de 31 de dezembro de 1973, passa a vigorar com as seguintes alterações:</w:t>
            </w:r>
          </w:p>
          <w:p w:rsidR="00213564" w:rsidRPr="008E7E07" w:rsidRDefault="00213564" w:rsidP="003433B7">
            <w:pPr>
              <w:ind w:left="1701"/>
              <w:jc w:val="both"/>
              <w:rPr>
                <w:rFonts w:cs="Arial"/>
                <w:sz w:val="20"/>
                <w:szCs w:val="20"/>
              </w:rPr>
            </w:pPr>
            <w:r w:rsidRPr="008E7E07">
              <w:rPr>
                <w:rFonts w:cs="Arial"/>
                <w:sz w:val="20"/>
                <w:szCs w:val="20"/>
              </w:rPr>
              <w:t>“</w:t>
            </w:r>
            <w:r w:rsidRPr="008E7E07">
              <w:rPr>
                <w:rFonts w:cs="Arial"/>
                <w:b/>
                <w:bCs/>
                <w:sz w:val="20"/>
                <w:szCs w:val="20"/>
              </w:rPr>
              <w:t>Art. 213</w:t>
            </w:r>
            <w:proofErr w:type="gramStart"/>
            <w:r w:rsidRPr="008E7E07">
              <w:rPr>
                <w:rFonts w:cs="Arial"/>
                <w:sz w:val="20"/>
                <w:szCs w:val="20"/>
              </w:rPr>
              <w:t>.....................................................................................</w:t>
            </w:r>
            <w:proofErr w:type="gramEnd"/>
          </w:p>
          <w:p w:rsidR="00213564" w:rsidRPr="008E7E07" w:rsidRDefault="00213564" w:rsidP="003433B7">
            <w:pPr>
              <w:ind w:left="1701"/>
              <w:jc w:val="both"/>
              <w:rPr>
                <w:rFonts w:cs="Arial"/>
                <w:sz w:val="20"/>
                <w:szCs w:val="20"/>
              </w:rPr>
            </w:pPr>
            <w:r w:rsidRPr="008E7E07">
              <w:rPr>
                <w:rFonts w:cs="Arial"/>
                <w:sz w:val="20"/>
                <w:szCs w:val="20"/>
              </w:rPr>
              <w:t xml:space="preserve">§ 17. São dispensadas as assinaturas dos confrontantes na planta e no memorial descritivo, previstas no inciso II do caput, no caso de inserção ou alteração de medida perimetral, de que resulte, ou não, alteração de área, decorrente da informação das coordenadas dos vértices definidores dos limites dos imóveis rurais, </w:t>
            </w:r>
            <w:proofErr w:type="spellStart"/>
            <w:r w:rsidRPr="008E7E07">
              <w:rPr>
                <w:rFonts w:cs="Arial"/>
                <w:sz w:val="20"/>
                <w:szCs w:val="20"/>
              </w:rPr>
              <w:t>geo-referenciadas</w:t>
            </w:r>
            <w:proofErr w:type="spellEnd"/>
            <w:r w:rsidRPr="008E7E07">
              <w:rPr>
                <w:rFonts w:cs="Arial"/>
                <w:sz w:val="20"/>
                <w:szCs w:val="20"/>
              </w:rPr>
              <w:t xml:space="preserve"> ao Sistema Geodésico Brasileiro e com precisão posicional fixada pelo INCRA.” (NR</w:t>
            </w:r>
            <w:proofErr w:type="gramStart"/>
            <w:r w:rsidRPr="008E7E07">
              <w:rPr>
                <w:rFonts w:cs="Arial"/>
                <w:sz w:val="20"/>
                <w:szCs w:val="20"/>
              </w:rPr>
              <w:t>)</w:t>
            </w:r>
            <w:proofErr w:type="gramEnd"/>
          </w:p>
          <w:p w:rsidR="0060555F" w:rsidRPr="008E7E07" w:rsidRDefault="0060555F" w:rsidP="008E7E07">
            <w:pPr>
              <w:jc w:val="both"/>
              <w:rPr>
                <w:sz w:val="20"/>
                <w:szCs w:val="20"/>
              </w:rPr>
            </w:pPr>
          </w:p>
        </w:tc>
        <w:tc>
          <w:tcPr>
            <w:tcW w:w="5501" w:type="dxa"/>
          </w:tcPr>
          <w:p w:rsidR="00213564" w:rsidRPr="008E7E07" w:rsidRDefault="00213564" w:rsidP="008E7E07">
            <w:pPr>
              <w:pStyle w:val="EMENTA"/>
              <w:widowControl/>
              <w:spacing w:before="0" w:after="0"/>
              <w:ind w:left="0" w:firstLine="0"/>
              <w:rPr>
                <w:rFonts w:asciiTheme="minorHAnsi" w:hAnsiTheme="minorHAnsi"/>
                <w:sz w:val="20"/>
                <w:szCs w:val="20"/>
              </w:rPr>
            </w:pPr>
            <w:r w:rsidRPr="008E7E07">
              <w:rPr>
                <w:rFonts w:asciiTheme="minorHAnsi" w:hAnsiTheme="minorHAnsi"/>
                <w:sz w:val="20"/>
                <w:szCs w:val="20"/>
              </w:rPr>
              <w:t>- D</w:t>
            </w:r>
            <w:r w:rsidRPr="008E7E07">
              <w:rPr>
                <w:rFonts w:asciiTheme="minorHAnsi" w:hAnsiTheme="minorHAnsi"/>
                <w:sz w:val="20"/>
                <w:szCs w:val="20"/>
              </w:rPr>
              <w:t>ispensa das assinaturas dos confrontantes na planta e no memorial descritivo, previstas no inciso II do caput, do artigo 213 da Lei nº 6.015, de 31 de dezembro de 1973.</w:t>
            </w:r>
            <w:r w:rsidRPr="008E7E07">
              <w:rPr>
                <w:rFonts w:asciiTheme="minorHAnsi" w:hAnsiTheme="minorHAnsi"/>
                <w:sz w:val="20"/>
                <w:szCs w:val="20"/>
                <w:shd w:val="clear" w:color="auto" w:fill="FFFFFF"/>
              </w:rPr>
              <w:t xml:space="preserve"> </w:t>
            </w:r>
          </w:p>
          <w:p w:rsidR="0060555F" w:rsidRPr="008E7E07" w:rsidRDefault="0060555F" w:rsidP="008E7E07">
            <w:pPr>
              <w:jc w:val="both"/>
              <w:rPr>
                <w:sz w:val="20"/>
                <w:szCs w:val="20"/>
              </w:rPr>
            </w:pPr>
          </w:p>
        </w:tc>
      </w:tr>
      <w:tr w:rsidR="0060555F" w:rsidTr="008E7E07">
        <w:tc>
          <w:tcPr>
            <w:tcW w:w="8719" w:type="dxa"/>
          </w:tcPr>
          <w:p w:rsidR="00213564" w:rsidRPr="008E7E07" w:rsidRDefault="00213564" w:rsidP="008E7E07">
            <w:pPr>
              <w:pStyle w:val="CORPOPADRO"/>
              <w:ind w:firstLine="0"/>
              <w:rPr>
                <w:rFonts w:asciiTheme="minorHAnsi" w:hAnsiTheme="minorHAnsi"/>
                <w:sz w:val="20"/>
                <w:szCs w:val="20"/>
                <w:shd w:val="clear" w:color="auto" w:fill="FFFFFF"/>
              </w:rPr>
            </w:pPr>
            <w:r w:rsidRPr="008E7E07">
              <w:rPr>
                <w:rFonts w:asciiTheme="minorHAnsi" w:hAnsiTheme="minorHAnsi"/>
                <w:sz w:val="20"/>
                <w:szCs w:val="20"/>
              </w:rPr>
              <w:t xml:space="preserve">A </w:t>
            </w:r>
            <w:r w:rsidRPr="008E7E07">
              <w:rPr>
                <w:rFonts w:asciiTheme="minorHAnsi" w:hAnsiTheme="minorHAnsi"/>
                <w:sz w:val="20"/>
                <w:szCs w:val="20"/>
                <w:shd w:val="clear" w:color="auto" w:fill="FFFFFF"/>
              </w:rPr>
              <w:t>Lei nº 6.938, de 31 de agosto de 1981, passa a vigorar com as seguintes alterações:</w:t>
            </w:r>
          </w:p>
          <w:p w:rsidR="00213564" w:rsidRPr="008E7E07" w:rsidRDefault="00213564" w:rsidP="003433B7">
            <w:pPr>
              <w:pStyle w:val="TRANSCRIOLEI"/>
              <w:ind w:left="1701"/>
              <w:rPr>
                <w:rFonts w:asciiTheme="minorHAnsi" w:hAnsiTheme="minorHAnsi"/>
                <w:sz w:val="20"/>
                <w:szCs w:val="20"/>
                <w:shd w:val="clear" w:color="auto" w:fill="FFFFFF"/>
              </w:rPr>
            </w:pPr>
            <w:r w:rsidRPr="008E7E07">
              <w:rPr>
                <w:rFonts w:asciiTheme="minorHAnsi" w:hAnsiTheme="minorHAnsi"/>
                <w:sz w:val="20"/>
                <w:szCs w:val="20"/>
                <w:shd w:val="clear" w:color="auto" w:fill="FFFFFF"/>
              </w:rPr>
              <w:t>“Art. 17-D</w:t>
            </w:r>
            <w:proofErr w:type="gramStart"/>
            <w:r w:rsidRPr="008E7E07">
              <w:rPr>
                <w:rFonts w:asciiTheme="minorHAnsi" w:hAnsiTheme="minorHAnsi"/>
                <w:sz w:val="20"/>
                <w:szCs w:val="20"/>
                <w:shd w:val="clear" w:color="auto" w:fill="FFFFFF"/>
              </w:rPr>
              <w:t>. ...</w:t>
            </w:r>
            <w:proofErr w:type="gramEnd"/>
            <w:r w:rsidRPr="008E7E07">
              <w:rPr>
                <w:rFonts w:asciiTheme="minorHAnsi" w:hAnsiTheme="minorHAnsi"/>
                <w:sz w:val="20"/>
                <w:szCs w:val="20"/>
                <w:shd w:val="clear" w:color="auto" w:fill="FFFFFF"/>
              </w:rPr>
              <w:t xml:space="preserve">................................................................................. </w:t>
            </w:r>
          </w:p>
          <w:p w:rsidR="00213564" w:rsidRPr="008E7E07" w:rsidRDefault="00213564" w:rsidP="003433B7">
            <w:pPr>
              <w:pStyle w:val="TRANSCRIOLEI"/>
              <w:ind w:left="1701"/>
              <w:rPr>
                <w:rFonts w:asciiTheme="minorHAnsi" w:hAnsiTheme="minorHAnsi"/>
                <w:sz w:val="20"/>
                <w:szCs w:val="20"/>
                <w:shd w:val="clear" w:color="auto" w:fill="FFFFFF"/>
              </w:rPr>
            </w:pPr>
            <w:r w:rsidRPr="008E7E07">
              <w:rPr>
                <w:rFonts w:asciiTheme="minorHAnsi" w:hAnsiTheme="minorHAnsi"/>
                <w:sz w:val="20"/>
                <w:szCs w:val="20"/>
                <w:shd w:val="clear" w:color="auto" w:fill="FFFFFF"/>
              </w:rPr>
              <w:t xml:space="preserve">§ </w:t>
            </w:r>
            <w:proofErr w:type="gramStart"/>
            <w:r w:rsidRPr="008E7E07">
              <w:rPr>
                <w:rFonts w:asciiTheme="minorHAnsi" w:hAnsiTheme="minorHAnsi"/>
                <w:sz w:val="20"/>
                <w:szCs w:val="20"/>
                <w:shd w:val="clear" w:color="auto" w:fill="FFFFFF"/>
              </w:rPr>
              <w:t>1º ...</w:t>
            </w:r>
            <w:proofErr w:type="gramEnd"/>
            <w:r w:rsidRPr="008E7E07">
              <w:rPr>
                <w:rFonts w:asciiTheme="minorHAnsi" w:hAnsiTheme="minorHAnsi"/>
                <w:sz w:val="20"/>
                <w:szCs w:val="20"/>
                <w:shd w:val="clear" w:color="auto" w:fill="FFFFFF"/>
              </w:rPr>
              <w:t>......................................................................................</w:t>
            </w:r>
            <w:r w:rsidRPr="008E7E07">
              <w:rPr>
                <w:rFonts w:asciiTheme="minorHAnsi" w:hAnsiTheme="minorHAnsi"/>
                <w:sz w:val="20"/>
                <w:szCs w:val="20"/>
                <w:shd w:val="clear" w:color="auto" w:fill="FFFFFF"/>
              </w:rPr>
              <w:t>..</w:t>
            </w:r>
          </w:p>
          <w:p w:rsidR="00213564" w:rsidRPr="008E7E07" w:rsidRDefault="00213564" w:rsidP="003433B7">
            <w:pPr>
              <w:pStyle w:val="TRANSCRIOLEI"/>
              <w:ind w:left="1701"/>
              <w:rPr>
                <w:rFonts w:asciiTheme="minorHAnsi" w:hAnsiTheme="minorHAnsi"/>
                <w:sz w:val="20"/>
                <w:szCs w:val="20"/>
                <w:shd w:val="clear" w:color="auto" w:fill="FFFFFF"/>
              </w:rPr>
            </w:pPr>
            <w:r w:rsidRPr="008E7E07">
              <w:rPr>
                <w:rFonts w:asciiTheme="minorHAnsi" w:hAnsiTheme="minorHAnsi"/>
                <w:sz w:val="20"/>
                <w:szCs w:val="20"/>
                <w:shd w:val="clear" w:color="auto" w:fill="FFFFFF"/>
              </w:rPr>
              <w:t>I – microempresa e empresa de pequeno porte, as pessoas jurídicas cujo total da receita bruta anual diretamente relacionada ao desenvolvimento de atividades potencialmente poluidoras e utilizadoras de recursos ambientais constantes do Anexo VIII se enquadrem, respectivamente, nas descrições dos incisos I e II do caput do art. 3º da lei Complementar nº 123, de 14 de dezembro de 2006;</w:t>
            </w:r>
          </w:p>
          <w:p w:rsidR="00213564" w:rsidRPr="008E7E07" w:rsidRDefault="00213564" w:rsidP="003433B7">
            <w:pPr>
              <w:pStyle w:val="TRANSCRIOLEI"/>
              <w:ind w:left="1701"/>
              <w:rPr>
                <w:rFonts w:asciiTheme="minorHAnsi" w:hAnsiTheme="minorHAnsi"/>
                <w:sz w:val="20"/>
                <w:szCs w:val="20"/>
                <w:shd w:val="clear" w:color="auto" w:fill="FFFFFF"/>
              </w:rPr>
            </w:pPr>
            <w:r w:rsidRPr="008E7E07">
              <w:rPr>
                <w:rFonts w:asciiTheme="minorHAnsi" w:hAnsiTheme="minorHAnsi"/>
                <w:sz w:val="20"/>
                <w:szCs w:val="20"/>
                <w:shd w:val="clear" w:color="auto" w:fill="FFFFFF"/>
              </w:rPr>
              <w:t xml:space="preserve">II – empresa de médio porte, as pessoas jurídicas cujo total da receita bruta anual diretamente relacionada ao desenvolvimento de atividades potencialmente poluidoras e utilizadoras de recursos ambientais constantes do Anexo VIII seja superior ao previsto no inciso II do caput do art. 3º da Lei Complementar nº 123, de 14 de dezembro de 2006, e igual ou inferior a R$ 300.000.000,00 (trezentos milhões de reais); </w:t>
            </w:r>
            <w:proofErr w:type="gramStart"/>
            <w:r w:rsidRPr="008E7E07">
              <w:rPr>
                <w:rFonts w:asciiTheme="minorHAnsi" w:hAnsiTheme="minorHAnsi"/>
                <w:sz w:val="20"/>
                <w:szCs w:val="20"/>
                <w:shd w:val="clear" w:color="auto" w:fill="FFFFFF"/>
              </w:rPr>
              <w:t>e</w:t>
            </w:r>
            <w:proofErr w:type="gramEnd"/>
          </w:p>
          <w:p w:rsidR="00213564" w:rsidRPr="008E7E07" w:rsidRDefault="00213564" w:rsidP="003433B7">
            <w:pPr>
              <w:pStyle w:val="TRANSCRIOLEI"/>
              <w:ind w:left="1701"/>
              <w:rPr>
                <w:rFonts w:asciiTheme="minorHAnsi" w:hAnsiTheme="minorHAnsi"/>
                <w:sz w:val="20"/>
                <w:szCs w:val="20"/>
                <w:shd w:val="clear" w:color="auto" w:fill="FFFFFF"/>
              </w:rPr>
            </w:pPr>
            <w:r w:rsidRPr="008E7E07">
              <w:rPr>
                <w:rFonts w:asciiTheme="minorHAnsi" w:hAnsiTheme="minorHAnsi"/>
                <w:sz w:val="20"/>
                <w:szCs w:val="20"/>
                <w:shd w:val="clear" w:color="auto" w:fill="FFFFFF"/>
              </w:rPr>
              <w:t xml:space="preserve">III – empresa de grande porte, as pessoas jurídicas cujo total da receita bruta anual diretamente relacionada ao desenvolvimento de atividades potencialmente </w:t>
            </w:r>
            <w:r w:rsidRPr="008E7E07">
              <w:rPr>
                <w:rFonts w:asciiTheme="minorHAnsi" w:hAnsiTheme="minorHAnsi"/>
                <w:sz w:val="20"/>
                <w:szCs w:val="20"/>
                <w:shd w:val="clear" w:color="auto" w:fill="FFFFFF"/>
              </w:rPr>
              <w:lastRenderedPageBreak/>
              <w:t>poluidoras e utilizadoras de recursos ambientais constantes do Anexo VIII seja superior a R$ 300.000.000,00 (trezentos milhões de reais).</w:t>
            </w:r>
          </w:p>
          <w:p w:rsidR="00213564" w:rsidRPr="008E7E07" w:rsidRDefault="00213564" w:rsidP="003433B7">
            <w:pPr>
              <w:pStyle w:val="TRANSCRIOLEI"/>
              <w:ind w:left="1701"/>
              <w:rPr>
                <w:rFonts w:asciiTheme="minorHAnsi" w:hAnsiTheme="minorHAnsi"/>
                <w:sz w:val="20"/>
                <w:szCs w:val="20"/>
                <w:shd w:val="clear" w:color="auto" w:fill="FFFFFF"/>
              </w:rPr>
            </w:pPr>
            <w:proofErr w:type="gramStart"/>
            <w:r w:rsidRPr="008E7E07">
              <w:rPr>
                <w:rFonts w:asciiTheme="minorHAnsi" w:hAnsiTheme="minorHAnsi"/>
                <w:sz w:val="20"/>
                <w:szCs w:val="20"/>
                <w:shd w:val="clear" w:color="auto" w:fill="FFFFFF"/>
              </w:rPr>
              <w:t>......................................................................................................</w:t>
            </w:r>
            <w:proofErr w:type="gramEnd"/>
          </w:p>
          <w:p w:rsidR="00213564" w:rsidRPr="008E7E07" w:rsidRDefault="00213564" w:rsidP="003433B7">
            <w:pPr>
              <w:pStyle w:val="TRANSCRIOLEI"/>
              <w:ind w:left="1701"/>
              <w:rPr>
                <w:rFonts w:asciiTheme="minorHAnsi" w:hAnsiTheme="minorHAnsi"/>
                <w:sz w:val="20"/>
                <w:szCs w:val="20"/>
                <w:shd w:val="clear" w:color="auto" w:fill="FFFFFF"/>
              </w:rPr>
            </w:pPr>
            <w:r w:rsidRPr="008E7E07">
              <w:rPr>
                <w:rFonts w:asciiTheme="minorHAnsi" w:hAnsiTheme="minorHAnsi"/>
                <w:sz w:val="20"/>
                <w:szCs w:val="20"/>
                <w:shd w:val="clear" w:color="auto" w:fill="FFFFFF"/>
              </w:rPr>
              <w:t>§ 4º A TCFA incidente sobre a fiscalização da atividade de comércio de combustíveis automotivos no varejo será devida somente uma vez a cada ano, no valor de uma trimestralidade prevista no Anexo IX desta Lei.</w:t>
            </w:r>
          </w:p>
          <w:p w:rsidR="00213564" w:rsidRPr="008E7E07" w:rsidRDefault="00213564" w:rsidP="003433B7">
            <w:pPr>
              <w:pStyle w:val="TRANSCRIOLEI"/>
              <w:ind w:left="1701"/>
              <w:rPr>
                <w:rFonts w:asciiTheme="minorHAnsi" w:hAnsiTheme="minorHAnsi"/>
                <w:sz w:val="20"/>
                <w:szCs w:val="20"/>
                <w:shd w:val="clear" w:color="auto" w:fill="FFFFFF"/>
              </w:rPr>
            </w:pPr>
            <w:r w:rsidRPr="008E7E07">
              <w:rPr>
                <w:rFonts w:asciiTheme="minorHAnsi" w:hAnsiTheme="minorHAnsi"/>
                <w:sz w:val="20"/>
                <w:szCs w:val="20"/>
                <w:shd w:val="clear" w:color="auto" w:fill="FFFFFF"/>
              </w:rPr>
              <w:t>§ 5º São isentas do pagamento da TCFA as pessoas jurídicas que exerçam as atividades descritas no Anexo VIII sob o Código 18 que detenham instalações de armazenamento de produtos licenciadas no órgão ambiental com capacidade de até 500 metros cúbicos, inclusive.” (NR</w:t>
            </w:r>
            <w:proofErr w:type="gramStart"/>
            <w:r w:rsidRPr="008E7E07">
              <w:rPr>
                <w:rFonts w:asciiTheme="minorHAnsi" w:hAnsiTheme="minorHAnsi"/>
                <w:sz w:val="20"/>
                <w:szCs w:val="20"/>
                <w:shd w:val="clear" w:color="auto" w:fill="FFFFFF"/>
              </w:rPr>
              <w:t>)</w:t>
            </w:r>
            <w:proofErr w:type="gramEnd"/>
          </w:p>
          <w:p w:rsidR="00213564" w:rsidRPr="008E7E07" w:rsidRDefault="00213564" w:rsidP="003433B7">
            <w:pPr>
              <w:pStyle w:val="TRANSCRIOLEI"/>
              <w:ind w:left="1701"/>
              <w:rPr>
                <w:rFonts w:asciiTheme="minorHAnsi" w:hAnsiTheme="minorHAnsi"/>
                <w:sz w:val="20"/>
                <w:szCs w:val="20"/>
                <w:shd w:val="clear" w:color="auto" w:fill="FFFFFF"/>
              </w:rPr>
            </w:pPr>
            <w:proofErr w:type="gramStart"/>
            <w:r w:rsidRPr="008E7E07">
              <w:rPr>
                <w:rFonts w:asciiTheme="minorHAnsi" w:hAnsiTheme="minorHAnsi"/>
                <w:sz w:val="20"/>
                <w:szCs w:val="20"/>
                <w:shd w:val="clear" w:color="auto" w:fill="FFFFFF"/>
              </w:rPr>
              <w:t>“Art. 17-R.</w:t>
            </w:r>
            <w:proofErr w:type="gramEnd"/>
            <w:r w:rsidRPr="008E7E07">
              <w:rPr>
                <w:rFonts w:asciiTheme="minorHAnsi" w:hAnsiTheme="minorHAnsi"/>
                <w:sz w:val="20"/>
                <w:szCs w:val="20"/>
                <w:shd w:val="clear" w:color="auto" w:fill="FFFFFF"/>
              </w:rPr>
              <w:t xml:space="preserve"> Os anexos a esta lei, inclusive quanto a valores e graus de riscos, serão atualizados semestralmente através do Comitê de Atualização do TCFA, a ser instituído por ato do Ministro da Meio-Ambiente.</w:t>
            </w:r>
          </w:p>
          <w:p w:rsidR="00213564" w:rsidRPr="008E7E07" w:rsidRDefault="00213564" w:rsidP="003433B7">
            <w:pPr>
              <w:pStyle w:val="TRANSCRIOLEI"/>
              <w:spacing w:after="240"/>
              <w:ind w:left="1701"/>
              <w:rPr>
                <w:rFonts w:asciiTheme="minorHAnsi" w:hAnsiTheme="minorHAnsi"/>
                <w:sz w:val="20"/>
                <w:szCs w:val="20"/>
              </w:rPr>
            </w:pPr>
            <w:r w:rsidRPr="008E7E07">
              <w:rPr>
                <w:rFonts w:asciiTheme="minorHAnsi" w:hAnsiTheme="minorHAnsi"/>
                <w:sz w:val="20"/>
                <w:szCs w:val="20"/>
                <w:shd w:val="clear" w:color="auto" w:fill="FFFFFF"/>
              </w:rPr>
              <w:t xml:space="preserve">Parágrafo único. Farão parte do Comitê a que se refere </w:t>
            </w:r>
            <w:proofErr w:type="gramStart"/>
            <w:r w:rsidRPr="008E7E07">
              <w:rPr>
                <w:rFonts w:asciiTheme="minorHAnsi" w:hAnsiTheme="minorHAnsi"/>
                <w:sz w:val="20"/>
                <w:szCs w:val="20"/>
                <w:shd w:val="clear" w:color="auto" w:fill="FFFFFF"/>
              </w:rPr>
              <w:t>o caput representantes do Ministério do Meio-Ambiente</w:t>
            </w:r>
            <w:proofErr w:type="gramEnd"/>
            <w:r w:rsidRPr="008E7E07">
              <w:rPr>
                <w:rFonts w:asciiTheme="minorHAnsi" w:hAnsiTheme="minorHAnsi"/>
                <w:sz w:val="20"/>
                <w:szCs w:val="20"/>
                <w:shd w:val="clear" w:color="auto" w:fill="FFFFFF"/>
              </w:rPr>
              <w:t>, Ministério da Agricultura e Ministério da Economia, bem como representantes do setor produtivo observada a composição paritária.” (NR)</w:t>
            </w:r>
          </w:p>
          <w:p w:rsidR="0060555F" w:rsidRPr="008E7E07" w:rsidRDefault="0060555F" w:rsidP="008E7E07">
            <w:pPr>
              <w:jc w:val="both"/>
              <w:rPr>
                <w:sz w:val="20"/>
                <w:szCs w:val="20"/>
              </w:rPr>
            </w:pPr>
          </w:p>
        </w:tc>
        <w:tc>
          <w:tcPr>
            <w:tcW w:w="5501" w:type="dxa"/>
          </w:tcPr>
          <w:p w:rsidR="0060555F" w:rsidRPr="008E7E07" w:rsidRDefault="00213564" w:rsidP="008E7E07">
            <w:pPr>
              <w:jc w:val="both"/>
              <w:rPr>
                <w:sz w:val="20"/>
                <w:szCs w:val="20"/>
              </w:rPr>
            </w:pPr>
            <w:r w:rsidRPr="008E7E07">
              <w:rPr>
                <w:sz w:val="20"/>
                <w:szCs w:val="20"/>
              </w:rPr>
              <w:lastRenderedPageBreak/>
              <w:t>- A</w:t>
            </w:r>
            <w:r w:rsidRPr="008E7E07">
              <w:rPr>
                <w:sz w:val="20"/>
                <w:szCs w:val="20"/>
              </w:rPr>
              <w:t xml:space="preserve">tualização dos valores de referência da taxa de fiscalização ambiental prevista na </w:t>
            </w:r>
            <w:r w:rsidRPr="008E7E07">
              <w:rPr>
                <w:sz w:val="20"/>
                <w:szCs w:val="20"/>
                <w:shd w:val="clear" w:color="auto" w:fill="FFFFFF"/>
              </w:rPr>
              <w:t>Lei nº 6.938, de 31 de agosto de 1981; reduz a taxa incidente sobre a atividade de comércio de combustíveis automotivos no varejo; e isenta dela as instalações de armazenamento de produtos, de até 500 metros cúbicos.</w:t>
            </w:r>
          </w:p>
        </w:tc>
      </w:tr>
      <w:tr w:rsidR="0060555F" w:rsidTr="008E7E07">
        <w:tc>
          <w:tcPr>
            <w:tcW w:w="8719" w:type="dxa"/>
          </w:tcPr>
          <w:p w:rsidR="00B55DA2" w:rsidRPr="008E7E07" w:rsidRDefault="00B55DA2" w:rsidP="008E7E07">
            <w:pPr>
              <w:jc w:val="both"/>
              <w:rPr>
                <w:rFonts w:cs="Arial"/>
                <w:sz w:val="20"/>
                <w:szCs w:val="20"/>
              </w:rPr>
            </w:pPr>
            <w:r w:rsidRPr="008E7E07">
              <w:rPr>
                <w:rFonts w:cs="Arial"/>
                <w:sz w:val="20"/>
                <w:szCs w:val="20"/>
              </w:rPr>
              <w:lastRenderedPageBreak/>
              <w:t>O Decreto-Lei nº 5.452, de 1º de maio de 1943 (Consolidação das Leis do Trabalho), passa a vigorar com a seguinte redação:</w:t>
            </w:r>
          </w:p>
          <w:p w:rsidR="00B55DA2" w:rsidRPr="008E7E07" w:rsidRDefault="00B55DA2" w:rsidP="003433B7">
            <w:pPr>
              <w:ind w:left="1701"/>
              <w:jc w:val="both"/>
              <w:rPr>
                <w:rFonts w:cs="Arial"/>
                <w:sz w:val="20"/>
                <w:szCs w:val="20"/>
              </w:rPr>
            </w:pPr>
            <w:r w:rsidRPr="008E7E07">
              <w:rPr>
                <w:rFonts w:cs="Arial"/>
                <w:sz w:val="20"/>
                <w:szCs w:val="20"/>
              </w:rPr>
              <w:t>“</w:t>
            </w:r>
            <w:r w:rsidRPr="008E7E07">
              <w:rPr>
                <w:rFonts w:cs="Arial"/>
                <w:b/>
                <w:sz w:val="20"/>
                <w:szCs w:val="20"/>
              </w:rPr>
              <w:t>Art. 67.</w:t>
            </w:r>
            <w:r w:rsidRPr="008E7E07">
              <w:rPr>
                <w:rFonts w:cs="Arial"/>
                <w:sz w:val="20"/>
                <w:szCs w:val="20"/>
              </w:rPr>
              <w:t xml:space="preserve"> Será assegurado a todo empregado um repouso semanal remunerado de vinte e quatro horas consecutivas, preferencialmente aos domingos.” (NR</w:t>
            </w:r>
            <w:proofErr w:type="gramStart"/>
            <w:r w:rsidRPr="008E7E07">
              <w:rPr>
                <w:rFonts w:cs="Arial"/>
                <w:sz w:val="20"/>
                <w:szCs w:val="20"/>
              </w:rPr>
              <w:t>)</w:t>
            </w:r>
            <w:proofErr w:type="gramEnd"/>
          </w:p>
          <w:p w:rsidR="00B55DA2" w:rsidRPr="008E7E07" w:rsidRDefault="00B55DA2" w:rsidP="003433B7">
            <w:pPr>
              <w:ind w:left="1701"/>
              <w:jc w:val="both"/>
              <w:rPr>
                <w:rFonts w:cs="Arial"/>
                <w:sz w:val="20"/>
                <w:szCs w:val="20"/>
              </w:rPr>
            </w:pPr>
            <w:proofErr w:type="gramStart"/>
            <w:r w:rsidRPr="008E7E07">
              <w:rPr>
                <w:rFonts w:cs="Arial"/>
                <w:sz w:val="20"/>
                <w:szCs w:val="20"/>
              </w:rPr>
              <w:t>“</w:t>
            </w:r>
            <w:r w:rsidRPr="008E7E07">
              <w:rPr>
                <w:rFonts w:cs="Arial"/>
                <w:b/>
                <w:sz w:val="20"/>
                <w:szCs w:val="20"/>
              </w:rPr>
              <w:t>Art. 68.</w:t>
            </w:r>
            <w:proofErr w:type="gramEnd"/>
            <w:r w:rsidRPr="008E7E07">
              <w:rPr>
                <w:rFonts w:cs="Arial"/>
                <w:sz w:val="20"/>
                <w:szCs w:val="20"/>
              </w:rPr>
              <w:t xml:space="preserve"> Fica autorizado o trabalho aos domingos e feriados.</w:t>
            </w:r>
          </w:p>
          <w:p w:rsidR="00B55DA2" w:rsidRPr="008E7E07" w:rsidRDefault="00B55DA2" w:rsidP="003433B7">
            <w:pPr>
              <w:ind w:left="1701"/>
              <w:jc w:val="both"/>
              <w:rPr>
                <w:rFonts w:cs="Arial"/>
                <w:sz w:val="20"/>
                <w:szCs w:val="20"/>
              </w:rPr>
            </w:pPr>
            <w:r w:rsidRPr="008E7E07">
              <w:rPr>
                <w:rFonts w:cs="Arial"/>
                <w:i/>
                <w:sz w:val="20"/>
                <w:szCs w:val="20"/>
              </w:rPr>
              <w:t>Parágrafo único</w:t>
            </w:r>
            <w:r w:rsidRPr="008E7E07">
              <w:rPr>
                <w:rFonts w:cs="Arial"/>
                <w:sz w:val="20"/>
                <w:szCs w:val="20"/>
              </w:rPr>
              <w:t xml:space="preserve">. </w:t>
            </w:r>
            <w:proofErr w:type="gramStart"/>
            <w:r w:rsidRPr="008E7E07">
              <w:rPr>
                <w:rFonts w:cs="Arial"/>
                <w:sz w:val="20"/>
                <w:szCs w:val="20"/>
              </w:rPr>
              <w:t>O repouso semanal remunerado deverá coincidir com o domingo pelo menos uma vez no período máximo de quatro semanas.”</w:t>
            </w:r>
            <w:proofErr w:type="gramEnd"/>
            <w:r w:rsidRPr="008E7E07">
              <w:rPr>
                <w:rFonts w:cs="Arial"/>
                <w:sz w:val="20"/>
                <w:szCs w:val="20"/>
              </w:rPr>
              <w:t xml:space="preserve"> (NR)</w:t>
            </w:r>
          </w:p>
          <w:p w:rsidR="00B55DA2" w:rsidRPr="008E7E07" w:rsidRDefault="00B55DA2" w:rsidP="003433B7">
            <w:pPr>
              <w:ind w:left="1701"/>
              <w:jc w:val="both"/>
              <w:rPr>
                <w:rFonts w:cs="Arial"/>
                <w:sz w:val="20"/>
                <w:szCs w:val="20"/>
              </w:rPr>
            </w:pPr>
            <w:r w:rsidRPr="008E7E07">
              <w:rPr>
                <w:rFonts w:cs="Arial"/>
                <w:sz w:val="20"/>
                <w:szCs w:val="20"/>
              </w:rPr>
              <w:t>“</w:t>
            </w:r>
            <w:r w:rsidRPr="008E7E07">
              <w:rPr>
                <w:rFonts w:cs="Arial"/>
                <w:b/>
                <w:sz w:val="20"/>
                <w:szCs w:val="20"/>
              </w:rPr>
              <w:t>Art. 70.</w:t>
            </w:r>
            <w:r w:rsidRPr="008E7E07">
              <w:rPr>
                <w:rFonts w:cs="Arial"/>
                <w:sz w:val="20"/>
                <w:szCs w:val="20"/>
              </w:rPr>
              <w:t xml:space="preserve"> O trabalho aos domingos e nos feriados será remunerado em dobro, salvo se o empregador determinar outro dia de folga compensatória.” (NR</w:t>
            </w:r>
            <w:proofErr w:type="gramStart"/>
            <w:r w:rsidRPr="008E7E07">
              <w:rPr>
                <w:rFonts w:cs="Arial"/>
                <w:sz w:val="20"/>
                <w:szCs w:val="20"/>
              </w:rPr>
              <w:t>)</w:t>
            </w:r>
            <w:proofErr w:type="gramEnd"/>
          </w:p>
          <w:p w:rsidR="00B55DA2" w:rsidRPr="008E7E07" w:rsidRDefault="00B55DA2" w:rsidP="003433B7">
            <w:pPr>
              <w:ind w:left="1701"/>
              <w:jc w:val="both"/>
              <w:rPr>
                <w:rFonts w:cs="Arial"/>
                <w:sz w:val="20"/>
                <w:szCs w:val="20"/>
              </w:rPr>
            </w:pPr>
            <w:proofErr w:type="gramStart"/>
            <w:r w:rsidRPr="008E7E07">
              <w:rPr>
                <w:rFonts w:cs="Arial"/>
                <w:sz w:val="20"/>
                <w:szCs w:val="20"/>
              </w:rPr>
              <w:t>“</w:t>
            </w:r>
            <w:r w:rsidRPr="008E7E07">
              <w:rPr>
                <w:rFonts w:cs="Arial"/>
                <w:b/>
                <w:sz w:val="20"/>
                <w:szCs w:val="20"/>
              </w:rPr>
              <w:t>Art. 161</w:t>
            </w:r>
            <w:r w:rsidRPr="008E7E07">
              <w:rPr>
                <w:rFonts w:cs="Arial"/>
                <w:sz w:val="20"/>
                <w:szCs w:val="20"/>
              </w:rPr>
              <w:t>.</w:t>
            </w:r>
            <w:proofErr w:type="gramEnd"/>
            <w:r w:rsidRPr="008E7E07">
              <w:rPr>
                <w:rFonts w:cs="Arial"/>
                <w:sz w:val="20"/>
                <w:szCs w:val="20"/>
              </w:rPr>
              <w:t xml:space="preserve"> A autoridade máxima regional em matéria de inspeção do trabalho, à vista do relatório técnico de auditor fiscal do trabalho que demonstre grave e iminente risco para o trabalhador, poderá interditar estabelecimento, setor de serviço, máquina ou equipamento, ou embargar obra, indicando na decisão, </w:t>
            </w:r>
            <w:r w:rsidRPr="008E7E07">
              <w:rPr>
                <w:rFonts w:cs="Arial"/>
                <w:sz w:val="20"/>
                <w:szCs w:val="20"/>
              </w:rPr>
              <w:lastRenderedPageBreak/>
              <w:t>tomada com a brevidade que a ocorrência exigir, as providências que deverão ser adotadas para prevenção de acidentes e doenças graves do trabalho.</w:t>
            </w:r>
          </w:p>
          <w:p w:rsidR="00B55DA2" w:rsidRPr="008E7E07" w:rsidRDefault="00B55DA2" w:rsidP="003433B7">
            <w:pPr>
              <w:ind w:left="1701"/>
              <w:jc w:val="both"/>
              <w:rPr>
                <w:rFonts w:cs="Arial"/>
                <w:sz w:val="20"/>
                <w:szCs w:val="20"/>
              </w:rPr>
            </w:pPr>
            <w:r w:rsidRPr="008E7E07">
              <w:rPr>
                <w:rFonts w:cs="Arial"/>
                <w:sz w:val="20"/>
                <w:szCs w:val="20"/>
              </w:rPr>
              <w:t>§ 1º As autoridades federais, estaduais e municipais darão imediato apoio às medidas determinadas pela autoridade máxima regional em matéria de inspeção do trabalho.</w:t>
            </w:r>
          </w:p>
          <w:p w:rsidR="00B55DA2" w:rsidRPr="008E7E07" w:rsidRDefault="00B55DA2" w:rsidP="003433B7">
            <w:pPr>
              <w:ind w:left="1701"/>
              <w:jc w:val="both"/>
              <w:rPr>
                <w:rFonts w:cs="Arial"/>
                <w:sz w:val="20"/>
                <w:szCs w:val="20"/>
              </w:rPr>
            </w:pPr>
            <w:r w:rsidRPr="008E7E07">
              <w:rPr>
                <w:rFonts w:cs="Arial"/>
                <w:sz w:val="20"/>
                <w:szCs w:val="20"/>
              </w:rPr>
              <w:t xml:space="preserve">§ 2º Da decisão da autoridade máxima regional em matéria de inspeção do trabalho poderão os interessados recorrer, no prazo de 10 (dez) dias, para a unidade competente para o julgamento de recursos da Secretaria de Trabalho do Ministério da Economia, a qual terá prazo de 03 (três) dias úteis para a análise do recurso, e terá a faculdade de dar efeito suspensivo ao mesmo.                   </w:t>
            </w:r>
          </w:p>
          <w:p w:rsidR="00B55DA2" w:rsidRPr="008E7E07" w:rsidRDefault="00B55DA2" w:rsidP="003433B7">
            <w:pPr>
              <w:ind w:left="1701"/>
              <w:jc w:val="both"/>
              <w:rPr>
                <w:rFonts w:cs="Arial"/>
                <w:sz w:val="20"/>
                <w:szCs w:val="20"/>
              </w:rPr>
            </w:pPr>
            <w:r w:rsidRPr="008E7E07">
              <w:rPr>
                <w:rFonts w:cs="Arial"/>
                <w:sz w:val="20"/>
                <w:szCs w:val="20"/>
              </w:rPr>
              <w:t>§ 3º Responderá por desobediência, além das medidas penais cabíveis, quem, após determinada a interdição ou embargo, ordenar ou permitir o funcionamento do</w:t>
            </w:r>
            <w:proofErr w:type="gramStart"/>
            <w:r w:rsidRPr="008E7E07">
              <w:rPr>
                <w:rFonts w:cs="Arial"/>
                <w:sz w:val="20"/>
                <w:szCs w:val="20"/>
              </w:rPr>
              <w:t xml:space="preserve">   </w:t>
            </w:r>
            <w:proofErr w:type="gramEnd"/>
            <w:r w:rsidRPr="008E7E07">
              <w:rPr>
                <w:rFonts w:cs="Arial"/>
                <w:sz w:val="20"/>
                <w:szCs w:val="20"/>
              </w:rPr>
              <w:t xml:space="preserve">estabelecimento ou de um dos seus setores, a utilização de máquina ou equipamento, ou o prosseguimento de obra.                     </w:t>
            </w:r>
          </w:p>
          <w:p w:rsidR="00B55DA2" w:rsidRPr="008E7E07" w:rsidRDefault="00B55DA2" w:rsidP="003433B7">
            <w:pPr>
              <w:ind w:left="1701"/>
              <w:jc w:val="both"/>
              <w:rPr>
                <w:rFonts w:cs="Arial"/>
                <w:sz w:val="20"/>
                <w:szCs w:val="20"/>
              </w:rPr>
            </w:pPr>
            <w:r w:rsidRPr="008E7E07">
              <w:rPr>
                <w:rFonts w:cs="Arial"/>
                <w:sz w:val="20"/>
                <w:szCs w:val="20"/>
              </w:rPr>
              <w:t>§ 4º A autoridade máxima regional em matéria de inspeção do trabalho, independente de recurso, e após laudo técnico do serviço competente, poderá levantar a interdição.</w:t>
            </w:r>
          </w:p>
          <w:p w:rsidR="00B55DA2" w:rsidRPr="008E7E07" w:rsidRDefault="00B55DA2" w:rsidP="003433B7">
            <w:pPr>
              <w:ind w:left="1701"/>
              <w:jc w:val="both"/>
              <w:rPr>
                <w:rFonts w:cs="Arial"/>
                <w:sz w:val="20"/>
                <w:szCs w:val="20"/>
              </w:rPr>
            </w:pPr>
            <w:r w:rsidRPr="008E7E07">
              <w:rPr>
                <w:rFonts w:cs="Arial"/>
                <w:sz w:val="20"/>
                <w:szCs w:val="20"/>
              </w:rPr>
              <w:t xml:space="preserve">§ </w:t>
            </w:r>
            <w:proofErr w:type="gramStart"/>
            <w:r w:rsidRPr="008E7E07">
              <w:rPr>
                <w:rFonts w:cs="Arial"/>
                <w:sz w:val="20"/>
                <w:szCs w:val="20"/>
              </w:rPr>
              <w:t>5º Durante a paralisação dos serviços, em decorrência da interdição ou embargo, os empregados receberão os salários como se estivessem em efetivo exercício.”</w:t>
            </w:r>
            <w:proofErr w:type="gramEnd"/>
            <w:r w:rsidRPr="008E7E07">
              <w:rPr>
                <w:rFonts w:cs="Arial"/>
                <w:sz w:val="20"/>
                <w:szCs w:val="20"/>
              </w:rPr>
              <w:t xml:space="preserve"> (NR)                      </w:t>
            </w:r>
          </w:p>
          <w:p w:rsidR="00B55DA2" w:rsidRPr="008E7E07" w:rsidRDefault="00B55DA2" w:rsidP="003433B7">
            <w:pPr>
              <w:ind w:left="1701"/>
              <w:jc w:val="both"/>
              <w:rPr>
                <w:rFonts w:cs="Arial"/>
                <w:sz w:val="20"/>
                <w:szCs w:val="20"/>
              </w:rPr>
            </w:pPr>
            <w:r w:rsidRPr="008E7E07">
              <w:rPr>
                <w:rFonts w:cs="Arial"/>
                <w:sz w:val="20"/>
                <w:szCs w:val="20"/>
              </w:rPr>
              <w:t>“</w:t>
            </w:r>
            <w:r w:rsidRPr="008E7E07">
              <w:rPr>
                <w:rFonts w:cs="Arial"/>
                <w:b/>
                <w:sz w:val="20"/>
                <w:szCs w:val="20"/>
              </w:rPr>
              <w:t>Art. 385.</w:t>
            </w:r>
            <w:r w:rsidRPr="008E7E07">
              <w:rPr>
                <w:rFonts w:cs="Arial"/>
                <w:sz w:val="20"/>
                <w:szCs w:val="20"/>
              </w:rPr>
              <w:t xml:space="preserve"> O descanso semanal remunerado será de vinte e quatro horas consecutivas.” (NR</w:t>
            </w:r>
            <w:proofErr w:type="gramStart"/>
            <w:r w:rsidRPr="008E7E07">
              <w:rPr>
                <w:rFonts w:cs="Arial"/>
                <w:sz w:val="20"/>
                <w:szCs w:val="20"/>
              </w:rPr>
              <w:t>)</w:t>
            </w:r>
            <w:proofErr w:type="gramEnd"/>
          </w:p>
          <w:p w:rsidR="00B55DA2" w:rsidRPr="008E7E07" w:rsidRDefault="00B55DA2" w:rsidP="003433B7">
            <w:pPr>
              <w:ind w:left="1701"/>
              <w:jc w:val="both"/>
              <w:rPr>
                <w:rFonts w:cs="Arial"/>
                <w:sz w:val="20"/>
                <w:szCs w:val="20"/>
              </w:rPr>
            </w:pPr>
            <w:r w:rsidRPr="008E7E07">
              <w:rPr>
                <w:rFonts w:cs="Arial"/>
                <w:sz w:val="20"/>
                <w:szCs w:val="20"/>
              </w:rPr>
              <w:t>“</w:t>
            </w:r>
            <w:r w:rsidRPr="008E7E07">
              <w:rPr>
                <w:rFonts w:cs="Arial"/>
                <w:b/>
                <w:sz w:val="20"/>
                <w:szCs w:val="20"/>
              </w:rPr>
              <w:t>Art. 386.</w:t>
            </w:r>
            <w:r w:rsidRPr="008E7E07">
              <w:rPr>
                <w:rFonts w:cs="Arial"/>
                <w:sz w:val="20"/>
                <w:szCs w:val="20"/>
              </w:rPr>
              <w:t xml:space="preserve"> O repouso semanal remunerado deverá coincidir com o domingo pelo menos uma vez no período máximo de quatro semanas.” (NR</w:t>
            </w:r>
            <w:proofErr w:type="gramStart"/>
            <w:r w:rsidRPr="008E7E07">
              <w:rPr>
                <w:rFonts w:cs="Arial"/>
                <w:sz w:val="20"/>
                <w:szCs w:val="20"/>
              </w:rPr>
              <w:t>)</w:t>
            </w:r>
            <w:proofErr w:type="gramEnd"/>
          </w:p>
          <w:p w:rsidR="00B55DA2" w:rsidRPr="008E7E07" w:rsidRDefault="00B55DA2" w:rsidP="003433B7">
            <w:pPr>
              <w:ind w:left="1701"/>
              <w:jc w:val="both"/>
              <w:rPr>
                <w:rFonts w:cs="Arial"/>
                <w:sz w:val="20"/>
                <w:szCs w:val="20"/>
              </w:rPr>
            </w:pPr>
            <w:proofErr w:type="gramStart"/>
            <w:r w:rsidRPr="008E7E07">
              <w:rPr>
                <w:rFonts w:cs="Arial"/>
                <w:sz w:val="20"/>
                <w:szCs w:val="20"/>
              </w:rPr>
              <w:t>“</w:t>
            </w:r>
            <w:r w:rsidRPr="008E7E07">
              <w:rPr>
                <w:rFonts w:cs="Arial"/>
                <w:b/>
                <w:sz w:val="20"/>
                <w:szCs w:val="20"/>
              </w:rPr>
              <w:t>Art. 386-A.</w:t>
            </w:r>
            <w:proofErr w:type="gramEnd"/>
            <w:r w:rsidRPr="008E7E07">
              <w:rPr>
                <w:rFonts w:cs="Arial"/>
                <w:sz w:val="20"/>
                <w:szCs w:val="20"/>
              </w:rPr>
              <w:t xml:space="preserve"> Havendo necessidade imperiosa nas atividades econômicas do agronegócio e relacionadas, que estão sujeitas a condições climáticas como fator determinante do período para sua execução, poderá o trabalho ser exercido em sábados, domingos e feriados, observado as devidas remunerações conforme este Decreto-Lei.</w:t>
            </w:r>
          </w:p>
          <w:p w:rsidR="00B55DA2" w:rsidRPr="008E7E07" w:rsidRDefault="00B55DA2" w:rsidP="003433B7">
            <w:pPr>
              <w:ind w:left="1701"/>
              <w:jc w:val="both"/>
              <w:rPr>
                <w:rFonts w:cs="Arial"/>
                <w:sz w:val="20"/>
                <w:szCs w:val="20"/>
              </w:rPr>
            </w:pPr>
            <w:r w:rsidRPr="008E7E07">
              <w:rPr>
                <w:rFonts w:cs="Arial"/>
                <w:i/>
                <w:sz w:val="20"/>
                <w:szCs w:val="20"/>
              </w:rPr>
              <w:t>Parágrafo único</w:t>
            </w:r>
            <w:r w:rsidRPr="008E7E07">
              <w:rPr>
                <w:rFonts w:cs="Arial"/>
                <w:sz w:val="20"/>
                <w:szCs w:val="20"/>
              </w:rPr>
              <w:t xml:space="preserve">. Inclui-se no disposto no </w:t>
            </w:r>
            <w:r w:rsidRPr="008E7E07">
              <w:rPr>
                <w:rFonts w:cs="Arial"/>
                <w:b/>
                <w:sz w:val="20"/>
                <w:szCs w:val="20"/>
              </w:rPr>
              <w:t>caput</w:t>
            </w:r>
            <w:r w:rsidRPr="008E7E07">
              <w:rPr>
                <w:rFonts w:cs="Arial"/>
                <w:sz w:val="20"/>
                <w:szCs w:val="20"/>
              </w:rPr>
              <w:t xml:space="preserve"> o fornecimento, beneficiamento, armazenamento e transporte de produtos agrícolas e relacionados incluindo:</w:t>
            </w:r>
          </w:p>
          <w:p w:rsidR="00B55DA2" w:rsidRPr="008E7E07" w:rsidRDefault="00B55DA2" w:rsidP="003433B7">
            <w:pPr>
              <w:ind w:left="1701"/>
              <w:jc w:val="both"/>
              <w:rPr>
                <w:rFonts w:cs="Arial"/>
                <w:sz w:val="20"/>
                <w:szCs w:val="20"/>
              </w:rPr>
            </w:pPr>
            <w:r w:rsidRPr="008E7E07">
              <w:rPr>
                <w:rFonts w:cs="Arial"/>
                <w:sz w:val="20"/>
                <w:szCs w:val="20"/>
              </w:rPr>
              <w:t>I – cana-de-açúcar;</w:t>
            </w:r>
          </w:p>
          <w:p w:rsidR="00B55DA2" w:rsidRPr="008E7E07" w:rsidRDefault="00B55DA2" w:rsidP="003433B7">
            <w:pPr>
              <w:ind w:left="1701"/>
              <w:jc w:val="both"/>
              <w:rPr>
                <w:rFonts w:cs="Arial"/>
                <w:sz w:val="20"/>
                <w:szCs w:val="20"/>
              </w:rPr>
            </w:pPr>
            <w:r w:rsidRPr="008E7E07">
              <w:rPr>
                <w:rFonts w:cs="Arial"/>
                <w:sz w:val="20"/>
                <w:szCs w:val="20"/>
              </w:rPr>
              <w:t>II – uva e vinho;</w:t>
            </w:r>
          </w:p>
          <w:p w:rsidR="00B55DA2" w:rsidRPr="008E7E07" w:rsidRDefault="00B55DA2" w:rsidP="003433B7">
            <w:pPr>
              <w:ind w:left="1701"/>
              <w:jc w:val="both"/>
              <w:rPr>
                <w:rFonts w:cs="Arial"/>
                <w:sz w:val="20"/>
                <w:szCs w:val="20"/>
              </w:rPr>
            </w:pPr>
            <w:r w:rsidRPr="008E7E07">
              <w:rPr>
                <w:rFonts w:cs="Arial"/>
                <w:sz w:val="20"/>
                <w:szCs w:val="20"/>
              </w:rPr>
              <w:t xml:space="preserve">III – grãos e cereais; </w:t>
            </w:r>
          </w:p>
          <w:p w:rsidR="00B55DA2" w:rsidRPr="008E7E07" w:rsidRDefault="00B55DA2" w:rsidP="003433B7">
            <w:pPr>
              <w:ind w:left="1701"/>
              <w:jc w:val="both"/>
              <w:rPr>
                <w:rFonts w:cs="Arial"/>
                <w:sz w:val="20"/>
                <w:szCs w:val="20"/>
              </w:rPr>
            </w:pPr>
            <w:r w:rsidRPr="008E7E07">
              <w:rPr>
                <w:rFonts w:cs="Arial"/>
                <w:sz w:val="20"/>
                <w:szCs w:val="20"/>
              </w:rPr>
              <w:lastRenderedPageBreak/>
              <w:t xml:space="preserve">IV – produção agrícola de insumos para biodiesel; </w:t>
            </w:r>
            <w:proofErr w:type="gramStart"/>
            <w:r w:rsidRPr="008E7E07">
              <w:rPr>
                <w:rFonts w:cs="Arial"/>
                <w:sz w:val="20"/>
                <w:szCs w:val="20"/>
              </w:rPr>
              <w:t>e</w:t>
            </w:r>
            <w:proofErr w:type="gramEnd"/>
          </w:p>
          <w:p w:rsidR="00B55DA2" w:rsidRPr="008E7E07" w:rsidRDefault="00B55DA2" w:rsidP="003433B7">
            <w:pPr>
              <w:ind w:left="1701"/>
              <w:jc w:val="both"/>
              <w:rPr>
                <w:rFonts w:cs="Arial"/>
                <w:sz w:val="20"/>
                <w:szCs w:val="20"/>
              </w:rPr>
            </w:pPr>
            <w:proofErr w:type="gramStart"/>
            <w:r w:rsidRPr="008E7E07">
              <w:rPr>
                <w:rFonts w:cs="Arial"/>
                <w:sz w:val="20"/>
                <w:szCs w:val="20"/>
              </w:rPr>
              <w:t>V – produtos e subprodutos agrícolas e pecuários.”</w:t>
            </w:r>
            <w:proofErr w:type="gramEnd"/>
            <w:r w:rsidRPr="008E7E07">
              <w:rPr>
                <w:rFonts w:cs="Arial"/>
                <w:sz w:val="20"/>
                <w:szCs w:val="20"/>
              </w:rPr>
              <w:t xml:space="preserve"> </w:t>
            </w:r>
          </w:p>
          <w:p w:rsidR="00B55DA2" w:rsidRPr="008E7E07" w:rsidRDefault="00B55DA2" w:rsidP="003433B7">
            <w:pPr>
              <w:ind w:left="1701"/>
              <w:jc w:val="both"/>
              <w:rPr>
                <w:rFonts w:cs="Arial"/>
                <w:sz w:val="20"/>
                <w:szCs w:val="20"/>
              </w:rPr>
            </w:pPr>
            <w:r w:rsidRPr="008E7E07">
              <w:rPr>
                <w:rFonts w:cs="Arial"/>
                <w:sz w:val="20"/>
                <w:szCs w:val="20"/>
              </w:rPr>
              <w:t xml:space="preserve"> </w:t>
            </w:r>
            <w:proofErr w:type="gramStart"/>
            <w:r w:rsidRPr="008E7E07">
              <w:rPr>
                <w:rFonts w:cs="Arial"/>
                <w:sz w:val="20"/>
                <w:szCs w:val="20"/>
              </w:rPr>
              <w:t>“</w:t>
            </w:r>
            <w:r w:rsidRPr="008E7E07">
              <w:rPr>
                <w:rFonts w:cs="Arial"/>
                <w:b/>
                <w:bCs/>
                <w:sz w:val="20"/>
                <w:szCs w:val="20"/>
              </w:rPr>
              <w:t>Art. 626</w:t>
            </w:r>
            <w:r w:rsidRPr="008E7E07">
              <w:rPr>
                <w:rFonts w:cs="Arial"/>
                <w:sz w:val="20"/>
                <w:szCs w:val="20"/>
              </w:rPr>
              <w:t>.</w:t>
            </w:r>
            <w:proofErr w:type="gramEnd"/>
            <w:r w:rsidRPr="008E7E07">
              <w:rPr>
                <w:rFonts w:cs="Arial"/>
                <w:sz w:val="20"/>
                <w:szCs w:val="20"/>
              </w:rPr>
              <w:t xml:space="preserve"> Incumbe às autoridades competentes da Secretaria Especial de Previdência e Trabalho do Ministério da Economia, ou àquelas que exerçam funções delegadas, a fiscalização do cumprimento das normas de proteção ao trabalho.</w:t>
            </w:r>
          </w:p>
          <w:p w:rsidR="00B55DA2" w:rsidRPr="008E7E07" w:rsidRDefault="00B55DA2" w:rsidP="003433B7">
            <w:pPr>
              <w:ind w:left="1701"/>
              <w:jc w:val="both"/>
              <w:rPr>
                <w:rFonts w:cs="Arial"/>
                <w:sz w:val="20"/>
                <w:szCs w:val="20"/>
              </w:rPr>
            </w:pPr>
            <w:r w:rsidRPr="008E7E07">
              <w:rPr>
                <w:rFonts w:cs="Arial"/>
                <w:sz w:val="20"/>
                <w:szCs w:val="20"/>
              </w:rPr>
              <w:t xml:space="preserve">Parágrafo único. </w:t>
            </w:r>
            <w:proofErr w:type="gramStart"/>
            <w:r w:rsidRPr="008E7E07">
              <w:rPr>
                <w:rFonts w:cs="Arial"/>
                <w:sz w:val="20"/>
                <w:szCs w:val="20"/>
              </w:rPr>
              <w:t>Os Auditores Fiscais do Trabalho serão competentes para a fiscalização a que se refere o presente artigo, na forma das instruções que forem expedidas pela Secretaria Especial de Previdência e Trabalho do Ministério da Economia.”</w:t>
            </w:r>
            <w:proofErr w:type="gramEnd"/>
            <w:r w:rsidRPr="008E7E07">
              <w:rPr>
                <w:rFonts w:cs="Arial"/>
                <w:sz w:val="20"/>
                <w:szCs w:val="20"/>
              </w:rPr>
              <w:t xml:space="preserve"> (NR)</w:t>
            </w:r>
          </w:p>
          <w:p w:rsidR="00B55DA2" w:rsidRPr="008E7E07" w:rsidRDefault="00B55DA2" w:rsidP="003433B7">
            <w:pPr>
              <w:ind w:left="1701"/>
              <w:jc w:val="both"/>
              <w:rPr>
                <w:rFonts w:cs="Arial"/>
                <w:sz w:val="20"/>
                <w:szCs w:val="20"/>
              </w:rPr>
            </w:pPr>
            <w:proofErr w:type="gramStart"/>
            <w:r w:rsidRPr="008E7E07">
              <w:rPr>
                <w:rFonts w:cs="Arial"/>
                <w:sz w:val="20"/>
                <w:szCs w:val="20"/>
              </w:rPr>
              <w:t>“</w:t>
            </w:r>
            <w:r w:rsidRPr="008E7E07">
              <w:rPr>
                <w:rFonts w:cs="Arial"/>
                <w:b/>
                <w:bCs/>
                <w:sz w:val="20"/>
                <w:szCs w:val="20"/>
              </w:rPr>
              <w:t>Art. 627</w:t>
            </w:r>
            <w:r w:rsidRPr="008E7E07">
              <w:rPr>
                <w:rFonts w:cs="Arial"/>
                <w:sz w:val="20"/>
                <w:szCs w:val="20"/>
              </w:rPr>
              <w:t>.</w:t>
            </w:r>
            <w:proofErr w:type="gramEnd"/>
            <w:r w:rsidRPr="008E7E07">
              <w:rPr>
                <w:rFonts w:cs="Arial"/>
                <w:sz w:val="20"/>
                <w:szCs w:val="20"/>
              </w:rPr>
              <w:t xml:space="preserve"> A fim de promover a instrução dos responsáveis no cumprimento das leis de proteção do trabalho, a fiscalização observará o critério de dupla visita nos seguintes casos:</w:t>
            </w:r>
          </w:p>
          <w:p w:rsidR="00B55DA2" w:rsidRPr="008E7E07" w:rsidRDefault="00B55DA2" w:rsidP="003433B7">
            <w:pPr>
              <w:ind w:left="1701"/>
              <w:jc w:val="both"/>
              <w:rPr>
                <w:rFonts w:cs="Arial"/>
                <w:sz w:val="20"/>
                <w:szCs w:val="20"/>
              </w:rPr>
            </w:pPr>
            <w:r w:rsidRPr="008E7E07">
              <w:rPr>
                <w:rFonts w:cs="Arial"/>
                <w:sz w:val="20"/>
                <w:szCs w:val="20"/>
              </w:rPr>
              <w:t>I – quando ocorrer promulgação ou expedição de novas leis, regulamentos ou instruções ministeriais, durante 180 (cento e oitenta dias) dias, contados da vigência das disposições;</w:t>
            </w:r>
          </w:p>
          <w:p w:rsidR="00B55DA2" w:rsidRPr="008E7E07" w:rsidRDefault="00B55DA2" w:rsidP="003433B7">
            <w:pPr>
              <w:ind w:left="1701"/>
              <w:jc w:val="both"/>
              <w:rPr>
                <w:rFonts w:cs="Arial"/>
                <w:sz w:val="20"/>
                <w:szCs w:val="20"/>
              </w:rPr>
            </w:pPr>
            <w:r w:rsidRPr="008E7E07">
              <w:rPr>
                <w:rFonts w:cs="Arial"/>
                <w:sz w:val="20"/>
                <w:szCs w:val="20"/>
              </w:rPr>
              <w:t>II – quando se tratar de primeira inspeção em estabelecimentos ou locais de trabalho recentemente inaugurados, até 180 (cento e oitenta dias) dias do seu efetivo funcionamento;</w:t>
            </w:r>
          </w:p>
          <w:p w:rsidR="00B55DA2" w:rsidRPr="008E7E07" w:rsidRDefault="00B55DA2" w:rsidP="003433B7">
            <w:pPr>
              <w:ind w:left="1701"/>
              <w:jc w:val="both"/>
              <w:rPr>
                <w:rFonts w:cs="Arial"/>
                <w:sz w:val="20"/>
                <w:szCs w:val="20"/>
              </w:rPr>
            </w:pPr>
            <w:r w:rsidRPr="008E7E07">
              <w:rPr>
                <w:rFonts w:cs="Arial"/>
                <w:sz w:val="20"/>
                <w:szCs w:val="20"/>
              </w:rPr>
              <w:t xml:space="preserve">III – quando se tratar de microempresa, empresa de pequeno porte e estabelecimento ou local de trabalho com até 20 (vinte) trabalhadores; </w:t>
            </w:r>
            <w:proofErr w:type="gramStart"/>
            <w:r w:rsidRPr="008E7E07">
              <w:rPr>
                <w:rFonts w:cs="Arial"/>
                <w:sz w:val="20"/>
                <w:szCs w:val="20"/>
              </w:rPr>
              <w:t>ou</w:t>
            </w:r>
            <w:proofErr w:type="gramEnd"/>
          </w:p>
          <w:p w:rsidR="00B55DA2" w:rsidRPr="008E7E07" w:rsidRDefault="00B55DA2" w:rsidP="003433B7">
            <w:pPr>
              <w:ind w:left="1701"/>
              <w:jc w:val="both"/>
              <w:rPr>
                <w:rFonts w:cs="Arial"/>
                <w:sz w:val="20"/>
                <w:szCs w:val="20"/>
              </w:rPr>
            </w:pPr>
            <w:r w:rsidRPr="008E7E07">
              <w:rPr>
                <w:rFonts w:cs="Arial"/>
                <w:sz w:val="20"/>
                <w:szCs w:val="20"/>
              </w:rPr>
              <w:t>IV – em se tratando de infrações aos preceitos legais ou regulamentadores sobre segurança e saúde do trabalhador de gradação leve, conforme regulamento da Secretaria Especial de Previdência e Trabalho do Ministério da Economia.</w:t>
            </w:r>
          </w:p>
          <w:p w:rsidR="00B55DA2" w:rsidRPr="008E7E07" w:rsidRDefault="00B55DA2" w:rsidP="003433B7">
            <w:pPr>
              <w:ind w:left="1701"/>
              <w:jc w:val="both"/>
              <w:rPr>
                <w:rFonts w:cs="Arial"/>
                <w:sz w:val="20"/>
                <w:szCs w:val="20"/>
              </w:rPr>
            </w:pPr>
            <w:r w:rsidRPr="008E7E07">
              <w:rPr>
                <w:rFonts w:cs="Arial"/>
                <w:i/>
                <w:iCs/>
                <w:sz w:val="20"/>
                <w:szCs w:val="20"/>
              </w:rPr>
              <w:t>Parágrafo únic</w:t>
            </w:r>
            <w:r w:rsidRPr="008E7E07">
              <w:rPr>
                <w:rFonts w:cs="Arial"/>
                <w:sz w:val="20"/>
                <w:szCs w:val="20"/>
              </w:rPr>
              <w:t>o. O benefício da dupla visita não será aplicado quando for constatada infração por falta de registro de empregado ou de anotação de CPTS, atraso no pagamento de salário e de FGTS,</w:t>
            </w:r>
            <w:proofErr w:type="gramStart"/>
            <w:r w:rsidRPr="008E7E07">
              <w:rPr>
                <w:rFonts w:cs="Arial"/>
                <w:sz w:val="20"/>
                <w:szCs w:val="20"/>
              </w:rPr>
              <w:t xml:space="preserve">  </w:t>
            </w:r>
            <w:proofErr w:type="gramEnd"/>
            <w:r w:rsidRPr="008E7E07">
              <w:rPr>
                <w:rFonts w:cs="Arial"/>
                <w:sz w:val="20"/>
                <w:szCs w:val="20"/>
              </w:rPr>
              <w:t xml:space="preserve">reincidência, fraude, resistência ou embaraço à fiscalização, bem como nas situações em que restar configurado acidente do trabalho, trabalho em condições análogas às de escravo ou trabalho infantil.” (NR) </w:t>
            </w:r>
          </w:p>
          <w:p w:rsidR="0060555F" w:rsidRPr="008E7E07" w:rsidRDefault="0060555F" w:rsidP="008E7E07">
            <w:pPr>
              <w:ind w:left="1701" w:firstLine="1701"/>
              <w:jc w:val="both"/>
              <w:rPr>
                <w:sz w:val="20"/>
                <w:szCs w:val="20"/>
              </w:rPr>
            </w:pPr>
          </w:p>
        </w:tc>
        <w:tc>
          <w:tcPr>
            <w:tcW w:w="5501" w:type="dxa"/>
          </w:tcPr>
          <w:p w:rsidR="0060555F" w:rsidRPr="008E7E07" w:rsidRDefault="00B55DA2" w:rsidP="008E7E07">
            <w:pPr>
              <w:jc w:val="both"/>
              <w:rPr>
                <w:sz w:val="20"/>
                <w:szCs w:val="20"/>
              </w:rPr>
            </w:pPr>
            <w:r w:rsidRPr="008E7E07">
              <w:rPr>
                <w:sz w:val="20"/>
                <w:szCs w:val="20"/>
              </w:rPr>
              <w:lastRenderedPageBreak/>
              <w:t>- Repouso semanal remunerado de 24 horas consecutivas, preferencialmente aos domingos;</w:t>
            </w:r>
          </w:p>
          <w:p w:rsidR="00B55DA2" w:rsidRPr="008E7E07" w:rsidRDefault="00B55DA2" w:rsidP="008E7E07">
            <w:pPr>
              <w:jc w:val="both"/>
              <w:rPr>
                <w:sz w:val="20"/>
                <w:szCs w:val="20"/>
              </w:rPr>
            </w:pPr>
            <w:r w:rsidRPr="008E7E07">
              <w:rPr>
                <w:sz w:val="20"/>
                <w:szCs w:val="20"/>
              </w:rPr>
              <w:t>- Repouso semanal remunerado deverá coincidir pelo menos uma vez com o domingo no período máximo de quatro semanas;</w:t>
            </w:r>
          </w:p>
          <w:p w:rsidR="00B55DA2" w:rsidRPr="008E7E07" w:rsidRDefault="00B55DA2" w:rsidP="008E7E07">
            <w:pPr>
              <w:jc w:val="both"/>
              <w:rPr>
                <w:sz w:val="20"/>
                <w:szCs w:val="20"/>
              </w:rPr>
            </w:pPr>
            <w:r w:rsidRPr="008E7E07">
              <w:rPr>
                <w:sz w:val="20"/>
                <w:szCs w:val="20"/>
              </w:rPr>
              <w:t>- Autorização do trabalho aos domingos e feriados, com remuneração em dobro ou concessão de um dia de folga compensatória;</w:t>
            </w:r>
          </w:p>
          <w:p w:rsidR="00B55DA2" w:rsidRPr="008E7E07" w:rsidRDefault="00CC5383" w:rsidP="008E7E07">
            <w:pPr>
              <w:jc w:val="both"/>
              <w:rPr>
                <w:sz w:val="20"/>
                <w:szCs w:val="20"/>
              </w:rPr>
            </w:pPr>
            <w:r w:rsidRPr="008E7E07">
              <w:rPr>
                <w:sz w:val="20"/>
                <w:szCs w:val="20"/>
              </w:rPr>
              <w:t>- Poder para interditar para a autoridade máxima regional em matéria de inspeção do trabalho;</w:t>
            </w:r>
          </w:p>
          <w:p w:rsidR="00CC5383" w:rsidRPr="008E7E07" w:rsidRDefault="00CC5383" w:rsidP="008E7E07">
            <w:pPr>
              <w:jc w:val="both"/>
              <w:rPr>
                <w:sz w:val="20"/>
                <w:szCs w:val="20"/>
              </w:rPr>
            </w:pPr>
            <w:r w:rsidRPr="008E7E07">
              <w:rPr>
                <w:sz w:val="20"/>
                <w:szCs w:val="20"/>
              </w:rPr>
              <w:t>- Fiscalização observará os critérios da dupla visita;</w:t>
            </w:r>
          </w:p>
        </w:tc>
      </w:tr>
      <w:tr w:rsidR="0060555F" w:rsidTr="008E7E07">
        <w:tc>
          <w:tcPr>
            <w:tcW w:w="8719" w:type="dxa"/>
          </w:tcPr>
          <w:p w:rsidR="00CC5383" w:rsidRPr="008E7E07" w:rsidRDefault="00CC5383" w:rsidP="008E7E07">
            <w:pPr>
              <w:jc w:val="both"/>
              <w:rPr>
                <w:rFonts w:cs="Arial"/>
                <w:sz w:val="20"/>
                <w:szCs w:val="20"/>
              </w:rPr>
            </w:pPr>
            <w:r w:rsidRPr="008E7E07">
              <w:rPr>
                <w:rFonts w:cs="Arial"/>
                <w:sz w:val="20"/>
                <w:szCs w:val="20"/>
              </w:rPr>
              <w:lastRenderedPageBreak/>
              <w:t>A Lei nº 6.360, de 1976, passa a vigorar com as seguintes alterações:</w:t>
            </w:r>
          </w:p>
          <w:p w:rsidR="00CC5383" w:rsidRPr="008E7E07" w:rsidRDefault="00CC5383" w:rsidP="008E7E07">
            <w:pPr>
              <w:ind w:left="1701" w:firstLine="1701"/>
              <w:jc w:val="both"/>
              <w:rPr>
                <w:rFonts w:cs="Arial"/>
                <w:sz w:val="20"/>
                <w:szCs w:val="20"/>
              </w:rPr>
            </w:pPr>
          </w:p>
          <w:p w:rsidR="00CC5383" w:rsidRPr="008E7E07" w:rsidRDefault="00CC5383" w:rsidP="003433B7">
            <w:pPr>
              <w:ind w:left="1701"/>
              <w:jc w:val="both"/>
              <w:rPr>
                <w:rFonts w:cs="Arial"/>
                <w:sz w:val="20"/>
                <w:szCs w:val="20"/>
              </w:rPr>
            </w:pPr>
            <w:r w:rsidRPr="008E7E07">
              <w:rPr>
                <w:rFonts w:cs="Arial"/>
                <w:sz w:val="20"/>
                <w:szCs w:val="20"/>
              </w:rPr>
              <w:t>“</w:t>
            </w:r>
            <w:r w:rsidRPr="008E7E07">
              <w:rPr>
                <w:rFonts w:cs="Arial"/>
                <w:b/>
                <w:sz w:val="20"/>
                <w:szCs w:val="20"/>
              </w:rPr>
              <w:t>Art. 50</w:t>
            </w:r>
            <w:r w:rsidRPr="008E7E07">
              <w:rPr>
                <w:rFonts w:cs="Arial"/>
                <w:sz w:val="20"/>
                <w:szCs w:val="20"/>
              </w:rPr>
              <w:t>.</w:t>
            </w:r>
            <w:proofErr w:type="gramStart"/>
            <w:r w:rsidRPr="008E7E07">
              <w:rPr>
                <w:rFonts w:cs="Arial"/>
                <w:sz w:val="20"/>
                <w:szCs w:val="20"/>
              </w:rPr>
              <w:t xml:space="preserve">  ...</w:t>
            </w:r>
            <w:proofErr w:type="gramEnd"/>
            <w:r w:rsidRPr="008E7E07">
              <w:rPr>
                <w:rFonts w:cs="Arial"/>
                <w:sz w:val="20"/>
                <w:szCs w:val="20"/>
              </w:rPr>
              <w:t>...................................................</w:t>
            </w:r>
          </w:p>
          <w:p w:rsidR="00CC5383" w:rsidRPr="008E7E07" w:rsidRDefault="00CC5383" w:rsidP="003433B7">
            <w:pPr>
              <w:ind w:left="1701"/>
              <w:jc w:val="both"/>
              <w:rPr>
                <w:rFonts w:cs="Arial"/>
                <w:sz w:val="20"/>
                <w:szCs w:val="20"/>
              </w:rPr>
            </w:pPr>
            <w:r w:rsidRPr="008E7E07">
              <w:rPr>
                <w:rFonts w:cs="Arial"/>
                <w:sz w:val="20"/>
                <w:szCs w:val="20"/>
              </w:rPr>
              <w:lastRenderedPageBreak/>
              <w:t>§ 1º</w:t>
            </w:r>
            <w:proofErr w:type="gramStart"/>
            <w:r w:rsidRPr="008E7E07">
              <w:rPr>
                <w:rFonts w:cs="Arial"/>
                <w:sz w:val="20"/>
                <w:szCs w:val="20"/>
              </w:rPr>
              <w:t xml:space="preserve">  </w:t>
            </w:r>
            <w:proofErr w:type="gramEnd"/>
            <w:r w:rsidRPr="008E7E07">
              <w:rPr>
                <w:rFonts w:cs="Arial"/>
                <w:sz w:val="20"/>
                <w:szCs w:val="20"/>
              </w:rPr>
              <w:t>As farmácias sem manipulação ou drogarias ficam dispensadas da autorização de que trata o caput para o seu funcionamento.”</w:t>
            </w:r>
          </w:p>
          <w:p w:rsidR="00CC5383" w:rsidRPr="008E7E07" w:rsidRDefault="00CC5383" w:rsidP="003433B7">
            <w:pPr>
              <w:ind w:left="1701"/>
              <w:jc w:val="both"/>
              <w:rPr>
                <w:rFonts w:cs="Arial"/>
                <w:sz w:val="20"/>
                <w:szCs w:val="20"/>
              </w:rPr>
            </w:pPr>
            <w:r w:rsidRPr="008E7E07">
              <w:rPr>
                <w:rFonts w:cs="Arial"/>
                <w:sz w:val="20"/>
                <w:szCs w:val="20"/>
              </w:rPr>
              <w:t>§ 2º</w:t>
            </w:r>
            <w:proofErr w:type="gramStart"/>
            <w:r w:rsidRPr="008E7E07">
              <w:rPr>
                <w:rFonts w:cs="Arial"/>
                <w:sz w:val="20"/>
                <w:szCs w:val="20"/>
              </w:rPr>
              <w:t xml:space="preserve">  </w:t>
            </w:r>
            <w:proofErr w:type="gramEnd"/>
            <w:r w:rsidRPr="008E7E07">
              <w:rPr>
                <w:rFonts w:cs="Arial"/>
                <w:sz w:val="20"/>
                <w:szCs w:val="20"/>
              </w:rPr>
              <w:t>A autorização de que trata este artigo será válida para todo o território nacional e dever á ser atualizada conforme regulamentação específica da Anvisa.” (NR)</w:t>
            </w:r>
          </w:p>
          <w:p w:rsidR="0060555F" w:rsidRPr="008E7E07" w:rsidRDefault="0060555F" w:rsidP="008E7E07">
            <w:pPr>
              <w:jc w:val="both"/>
              <w:rPr>
                <w:sz w:val="20"/>
                <w:szCs w:val="20"/>
              </w:rPr>
            </w:pPr>
          </w:p>
        </w:tc>
        <w:tc>
          <w:tcPr>
            <w:tcW w:w="5501" w:type="dxa"/>
          </w:tcPr>
          <w:p w:rsidR="0060555F" w:rsidRPr="008E7E07" w:rsidRDefault="00CC5383" w:rsidP="008E7E07">
            <w:pPr>
              <w:jc w:val="both"/>
              <w:rPr>
                <w:sz w:val="20"/>
                <w:szCs w:val="20"/>
              </w:rPr>
            </w:pPr>
            <w:r w:rsidRPr="008E7E07">
              <w:rPr>
                <w:sz w:val="20"/>
                <w:szCs w:val="20"/>
              </w:rPr>
              <w:lastRenderedPageBreak/>
              <w:t xml:space="preserve">- </w:t>
            </w:r>
            <w:proofErr w:type="gramStart"/>
            <w:r w:rsidR="003433B7" w:rsidRPr="008E7E07">
              <w:rPr>
                <w:sz w:val="20"/>
                <w:szCs w:val="20"/>
              </w:rPr>
              <w:t>O funcionamento das farmácias sem manipulação ou drogarias fica</w:t>
            </w:r>
            <w:r w:rsidR="003433B7">
              <w:rPr>
                <w:sz w:val="20"/>
                <w:szCs w:val="20"/>
              </w:rPr>
              <w:t>m</w:t>
            </w:r>
            <w:proofErr w:type="gramEnd"/>
            <w:r w:rsidRPr="008E7E07">
              <w:rPr>
                <w:sz w:val="20"/>
                <w:szCs w:val="20"/>
              </w:rPr>
              <w:t xml:space="preserve"> dispensadas de autorização da ANVISA;</w:t>
            </w:r>
          </w:p>
        </w:tc>
      </w:tr>
      <w:tr w:rsidR="0060555F" w:rsidTr="008E7E07">
        <w:tc>
          <w:tcPr>
            <w:tcW w:w="8719" w:type="dxa"/>
          </w:tcPr>
          <w:p w:rsidR="00D84E94" w:rsidRPr="008E7E07" w:rsidRDefault="00D84E94" w:rsidP="008E7E07">
            <w:pPr>
              <w:jc w:val="both"/>
              <w:rPr>
                <w:rFonts w:cs="Arial"/>
                <w:sz w:val="20"/>
                <w:szCs w:val="20"/>
              </w:rPr>
            </w:pPr>
            <w:r w:rsidRPr="008E7E07">
              <w:rPr>
                <w:rFonts w:cs="Arial"/>
                <w:sz w:val="20"/>
                <w:szCs w:val="20"/>
              </w:rPr>
              <w:lastRenderedPageBreak/>
              <w:t xml:space="preserve">A Lei nº 13.021, de </w:t>
            </w:r>
            <w:proofErr w:type="gramStart"/>
            <w:r w:rsidRPr="008E7E07">
              <w:rPr>
                <w:rFonts w:cs="Arial"/>
                <w:sz w:val="20"/>
                <w:szCs w:val="20"/>
              </w:rPr>
              <w:t>8</w:t>
            </w:r>
            <w:proofErr w:type="gramEnd"/>
            <w:r w:rsidRPr="008E7E07">
              <w:rPr>
                <w:rFonts w:cs="Arial"/>
                <w:sz w:val="20"/>
                <w:szCs w:val="20"/>
              </w:rPr>
              <w:t xml:space="preserve"> de agosto de 2014, passa a vigorar com as seguintes alterações:</w:t>
            </w:r>
          </w:p>
          <w:p w:rsidR="00D84E94" w:rsidRPr="008E7E07" w:rsidRDefault="00D84E94" w:rsidP="008E7E07">
            <w:pPr>
              <w:ind w:left="1701" w:firstLine="1701"/>
              <w:jc w:val="both"/>
              <w:rPr>
                <w:rFonts w:cs="Arial"/>
                <w:sz w:val="20"/>
                <w:szCs w:val="20"/>
              </w:rPr>
            </w:pPr>
          </w:p>
          <w:p w:rsidR="00D84E94" w:rsidRPr="008E7E07" w:rsidRDefault="00D84E94" w:rsidP="003433B7">
            <w:pPr>
              <w:ind w:left="1701"/>
              <w:jc w:val="both"/>
              <w:rPr>
                <w:rFonts w:cs="Arial"/>
                <w:sz w:val="20"/>
                <w:szCs w:val="20"/>
              </w:rPr>
            </w:pPr>
            <w:r w:rsidRPr="008E7E07">
              <w:rPr>
                <w:rFonts w:cs="Arial"/>
                <w:sz w:val="20"/>
                <w:szCs w:val="20"/>
              </w:rPr>
              <w:t>“</w:t>
            </w:r>
            <w:r w:rsidRPr="008E7E07">
              <w:rPr>
                <w:rFonts w:cs="Arial"/>
                <w:b/>
                <w:sz w:val="20"/>
                <w:szCs w:val="20"/>
              </w:rPr>
              <w:t>Art. 3º-A</w:t>
            </w:r>
            <w:r w:rsidRPr="008E7E07">
              <w:rPr>
                <w:rFonts w:cs="Arial"/>
                <w:sz w:val="20"/>
                <w:szCs w:val="20"/>
              </w:rPr>
              <w:t xml:space="preserve"> Considerando a essencialidade de seus serviços, fica autorizada a manipulação, manutenção estoque em e exposição ao público das drogas vegetais, chás, fitoterápicos, preparações </w:t>
            </w:r>
            <w:proofErr w:type="spellStart"/>
            <w:r w:rsidRPr="008E7E07">
              <w:rPr>
                <w:rFonts w:cs="Arial"/>
                <w:sz w:val="20"/>
                <w:szCs w:val="20"/>
              </w:rPr>
              <w:t>farmacopéicas</w:t>
            </w:r>
            <w:proofErr w:type="spellEnd"/>
            <w:r w:rsidRPr="008E7E07">
              <w:rPr>
                <w:rFonts w:cs="Arial"/>
                <w:sz w:val="20"/>
                <w:szCs w:val="20"/>
              </w:rPr>
              <w:t xml:space="preserve">, preparações pertencentes às listas oficiais, cosméticos, pomadas, aromatizadores de ambiente e óleos essenciais desde que isentos de prescrição, </w:t>
            </w:r>
            <w:proofErr w:type="gramStart"/>
            <w:r w:rsidRPr="008E7E07">
              <w:rPr>
                <w:rFonts w:cs="Arial"/>
                <w:sz w:val="20"/>
                <w:szCs w:val="20"/>
              </w:rPr>
              <w:t>obedecendo os</w:t>
            </w:r>
            <w:proofErr w:type="gramEnd"/>
            <w:r w:rsidRPr="008E7E07">
              <w:rPr>
                <w:rFonts w:cs="Arial"/>
                <w:sz w:val="20"/>
                <w:szCs w:val="20"/>
              </w:rPr>
              <w:t xml:space="preserve"> critérios estabelecidos na legislação em vigor.” (AC)</w:t>
            </w:r>
          </w:p>
          <w:p w:rsidR="00D84E94" w:rsidRPr="008E7E07" w:rsidRDefault="00D84E94" w:rsidP="003433B7">
            <w:pPr>
              <w:ind w:left="1701"/>
              <w:jc w:val="both"/>
              <w:rPr>
                <w:rFonts w:cs="Arial"/>
                <w:sz w:val="20"/>
                <w:szCs w:val="20"/>
              </w:rPr>
            </w:pPr>
            <w:r w:rsidRPr="008E7E07">
              <w:rPr>
                <w:rFonts w:cs="Arial"/>
                <w:sz w:val="20"/>
                <w:szCs w:val="20"/>
              </w:rPr>
              <w:t>“</w:t>
            </w:r>
            <w:r w:rsidRPr="008E7E07">
              <w:rPr>
                <w:rFonts w:cs="Arial"/>
                <w:b/>
                <w:sz w:val="20"/>
                <w:szCs w:val="20"/>
              </w:rPr>
              <w:t>Art. 4º-A</w:t>
            </w:r>
            <w:r w:rsidRPr="008E7E07">
              <w:rPr>
                <w:rFonts w:cs="Arial"/>
                <w:sz w:val="20"/>
                <w:szCs w:val="20"/>
              </w:rPr>
              <w:t xml:space="preserve"> Para o seu funcionamento, as farmácias sem manipulação ou drogarias ficam dispensadas do atendimento da exigência de autorização, prevista nesta Lei, e </w:t>
            </w:r>
            <w:proofErr w:type="gramStart"/>
            <w:r w:rsidRPr="008E7E07">
              <w:rPr>
                <w:rFonts w:cs="Arial"/>
                <w:sz w:val="20"/>
                <w:szCs w:val="20"/>
              </w:rPr>
              <w:t>nas Lei</w:t>
            </w:r>
            <w:proofErr w:type="gramEnd"/>
            <w:r w:rsidRPr="008E7E07">
              <w:rPr>
                <w:rFonts w:cs="Arial"/>
                <w:sz w:val="20"/>
                <w:szCs w:val="20"/>
              </w:rPr>
              <w:t xml:space="preserve"> nº 6.360, de 23 de setembro de 1976 e na Lei nº 9.782, de 26 de janeiro de 1999.</w:t>
            </w:r>
          </w:p>
          <w:p w:rsidR="00D84E94" w:rsidRPr="008E7E07" w:rsidRDefault="00D84E94" w:rsidP="003433B7">
            <w:pPr>
              <w:ind w:left="1701"/>
              <w:jc w:val="both"/>
              <w:rPr>
                <w:rFonts w:cs="Arial"/>
                <w:sz w:val="20"/>
                <w:szCs w:val="20"/>
              </w:rPr>
            </w:pPr>
            <w:r w:rsidRPr="008E7E07">
              <w:rPr>
                <w:rFonts w:cs="Arial"/>
                <w:i/>
                <w:sz w:val="20"/>
                <w:szCs w:val="20"/>
              </w:rPr>
              <w:t>Parágrafo único</w:t>
            </w:r>
            <w:r w:rsidRPr="008E7E07">
              <w:rPr>
                <w:rFonts w:cs="Arial"/>
                <w:sz w:val="20"/>
                <w:szCs w:val="20"/>
              </w:rPr>
              <w:t xml:space="preserve">. Aplica-se o disposto neste artigo aos autos de infração sanitária e aos créditos inscritos em dívida ativa e não executados judicialmente, constantes em procedimentos administrativos em curso no âmbito da Agência Nacional de Vigilância Sanitária – </w:t>
            </w:r>
            <w:proofErr w:type="gramStart"/>
            <w:r w:rsidRPr="008E7E07">
              <w:rPr>
                <w:rFonts w:cs="Arial"/>
                <w:sz w:val="20"/>
                <w:szCs w:val="20"/>
              </w:rPr>
              <w:t>Anvisa</w:t>
            </w:r>
            <w:proofErr w:type="gramEnd"/>
            <w:r w:rsidRPr="008E7E07">
              <w:rPr>
                <w:rFonts w:cs="Arial"/>
                <w:sz w:val="20"/>
                <w:szCs w:val="20"/>
              </w:rPr>
              <w:t>.” (AC)</w:t>
            </w:r>
          </w:p>
          <w:p w:rsidR="00D84E94" w:rsidRPr="008E7E07" w:rsidRDefault="00D84E94" w:rsidP="003433B7">
            <w:pPr>
              <w:ind w:left="1701"/>
              <w:jc w:val="both"/>
              <w:rPr>
                <w:rFonts w:cs="Arial"/>
                <w:sz w:val="20"/>
                <w:szCs w:val="20"/>
              </w:rPr>
            </w:pPr>
            <w:r w:rsidRPr="008E7E07">
              <w:rPr>
                <w:rFonts w:cs="Arial"/>
                <w:sz w:val="20"/>
                <w:szCs w:val="20"/>
              </w:rPr>
              <w:t>“</w:t>
            </w:r>
            <w:r w:rsidRPr="008E7E07">
              <w:rPr>
                <w:rFonts w:cs="Arial"/>
                <w:b/>
                <w:sz w:val="20"/>
                <w:szCs w:val="20"/>
              </w:rPr>
              <w:t>Art. 6º-A</w:t>
            </w:r>
            <w:r w:rsidRPr="008E7E07">
              <w:rPr>
                <w:rFonts w:cs="Arial"/>
                <w:sz w:val="20"/>
                <w:szCs w:val="20"/>
              </w:rPr>
              <w:t xml:space="preserve"> As farmácias sem manipulação ou drogarias ficam dispensadas da autorização de que trata o art. 6º para o seu funcionamento.” (AC</w:t>
            </w:r>
            <w:proofErr w:type="gramStart"/>
            <w:r w:rsidRPr="008E7E07">
              <w:rPr>
                <w:rFonts w:cs="Arial"/>
                <w:sz w:val="20"/>
                <w:szCs w:val="20"/>
              </w:rPr>
              <w:t>)</w:t>
            </w:r>
            <w:proofErr w:type="gramEnd"/>
          </w:p>
          <w:p w:rsidR="0060555F" w:rsidRPr="008E7E07" w:rsidRDefault="0060555F" w:rsidP="008E7E07">
            <w:pPr>
              <w:jc w:val="both"/>
              <w:rPr>
                <w:sz w:val="20"/>
                <w:szCs w:val="20"/>
              </w:rPr>
            </w:pPr>
          </w:p>
        </w:tc>
        <w:tc>
          <w:tcPr>
            <w:tcW w:w="5501" w:type="dxa"/>
          </w:tcPr>
          <w:p w:rsidR="0060555F" w:rsidRPr="008E7E07" w:rsidRDefault="00D84E94" w:rsidP="003433B7">
            <w:pPr>
              <w:jc w:val="both"/>
              <w:rPr>
                <w:sz w:val="20"/>
                <w:szCs w:val="20"/>
              </w:rPr>
            </w:pPr>
            <w:r w:rsidRPr="008E7E07">
              <w:rPr>
                <w:sz w:val="20"/>
                <w:szCs w:val="20"/>
              </w:rPr>
              <w:t xml:space="preserve">- </w:t>
            </w:r>
            <w:r w:rsidR="003433B7">
              <w:rPr>
                <w:sz w:val="20"/>
                <w:szCs w:val="20"/>
              </w:rPr>
              <w:t>A</w:t>
            </w:r>
            <w:r w:rsidRPr="008E7E07">
              <w:rPr>
                <w:rFonts w:cs="Arial"/>
                <w:sz w:val="20"/>
                <w:szCs w:val="20"/>
              </w:rPr>
              <w:t xml:space="preserve">utorizada a manipulação, manutenção estoque em e exposição ao público das drogas vegetais, chás, fitoterápicos, preparações </w:t>
            </w:r>
            <w:proofErr w:type="spellStart"/>
            <w:r w:rsidRPr="008E7E07">
              <w:rPr>
                <w:rFonts w:cs="Arial"/>
                <w:sz w:val="20"/>
                <w:szCs w:val="20"/>
              </w:rPr>
              <w:t>farmacopéicas</w:t>
            </w:r>
            <w:proofErr w:type="spellEnd"/>
            <w:r w:rsidRPr="008E7E07">
              <w:rPr>
                <w:rFonts w:cs="Arial"/>
                <w:sz w:val="20"/>
                <w:szCs w:val="20"/>
              </w:rPr>
              <w:t>, preparações pertencentes às listas oficiais, cosméticos, pomadas, aromatizadores de ambiente e óleos essenciais desde que isentos de prescrição</w:t>
            </w:r>
            <w:r w:rsidRPr="008E7E07">
              <w:rPr>
                <w:rFonts w:cs="Arial"/>
                <w:sz w:val="20"/>
                <w:szCs w:val="20"/>
              </w:rPr>
              <w:t>;</w:t>
            </w:r>
          </w:p>
        </w:tc>
      </w:tr>
      <w:tr w:rsidR="0060555F" w:rsidTr="008E7E07">
        <w:tc>
          <w:tcPr>
            <w:tcW w:w="8719" w:type="dxa"/>
          </w:tcPr>
          <w:p w:rsidR="00D84E94" w:rsidRPr="008E7E07" w:rsidRDefault="00D84E94" w:rsidP="003433B7">
            <w:pPr>
              <w:ind w:left="1701"/>
              <w:jc w:val="both"/>
              <w:rPr>
                <w:rFonts w:cs="Arial"/>
                <w:sz w:val="20"/>
                <w:szCs w:val="20"/>
              </w:rPr>
            </w:pPr>
            <w:r w:rsidRPr="008E7E07">
              <w:rPr>
                <w:rFonts w:cs="Arial"/>
                <w:b/>
                <w:sz w:val="20"/>
                <w:szCs w:val="20"/>
              </w:rPr>
              <w:t>Art. 47.</w:t>
            </w:r>
            <w:r w:rsidRPr="008E7E07">
              <w:rPr>
                <w:rFonts w:cs="Arial"/>
                <w:sz w:val="20"/>
                <w:szCs w:val="20"/>
              </w:rPr>
              <w:t xml:space="preserve">  Ato normativo da Secretaria de Governo Digital do Ministério da Economia regulamentará a maneira pela qual Estados, Distrito Federal e Municípios farão sua adesão ao disposto </w:t>
            </w:r>
            <w:r w:rsidRPr="008E7E07">
              <w:rPr>
                <w:rFonts w:cs="Arial"/>
                <w:color w:val="000000" w:themeColor="text1"/>
                <w:sz w:val="20"/>
                <w:szCs w:val="20"/>
              </w:rPr>
              <w:t xml:space="preserve">no inciso XIII do </w:t>
            </w:r>
            <w:r w:rsidRPr="008E7E07">
              <w:rPr>
                <w:rFonts w:cs="Arial"/>
                <w:b/>
                <w:bCs/>
                <w:color w:val="000000" w:themeColor="text1"/>
                <w:sz w:val="20"/>
                <w:szCs w:val="20"/>
              </w:rPr>
              <w:t xml:space="preserve">caput </w:t>
            </w:r>
            <w:r w:rsidRPr="008E7E07">
              <w:rPr>
                <w:rFonts w:cs="Arial"/>
                <w:color w:val="000000" w:themeColor="text1"/>
                <w:sz w:val="20"/>
                <w:szCs w:val="20"/>
              </w:rPr>
              <w:t xml:space="preserve">do art. 3º, estabelecendo inclusive os marcos temporais sobre os quais, </w:t>
            </w:r>
            <w:proofErr w:type="gramStart"/>
            <w:r w:rsidRPr="008E7E07">
              <w:rPr>
                <w:rFonts w:cs="Arial"/>
                <w:sz w:val="20"/>
                <w:szCs w:val="20"/>
              </w:rPr>
              <w:t>após</w:t>
            </w:r>
            <w:proofErr w:type="gramEnd"/>
            <w:r w:rsidRPr="008E7E07">
              <w:rPr>
                <w:rFonts w:cs="Arial"/>
                <w:sz w:val="20"/>
                <w:szCs w:val="20"/>
              </w:rPr>
              <w:t xml:space="preserve"> transcorridos, tornam-se inválidas as exigências de atos públicos de liberação de atividade econômica fora do padrão estabelecido.</w:t>
            </w:r>
          </w:p>
          <w:p w:rsidR="00D84E94" w:rsidRPr="008E7E07" w:rsidRDefault="00D84E94" w:rsidP="003433B7">
            <w:pPr>
              <w:ind w:left="1701"/>
              <w:jc w:val="both"/>
              <w:rPr>
                <w:rFonts w:cs="Arial"/>
                <w:sz w:val="20"/>
                <w:szCs w:val="20"/>
              </w:rPr>
            </w:pPr>
            <w:r w:rsidRPr="008E7E07">
              <w:rPr>
                <w:rFonts w:cs="Arial"/>
                <w:sz w:val="20"/>
                <w:szCs w:val="20"/>
              </w:rPr>
              <w:t xml:space="preserve">§ 1º Regulamento estabelecerá o procedimento para unificação de atos públicos de liberação que </w:t>
            </w:r>
            <w:proofErr w:type="gramStart"/>
            <w:r w:rsidRPr="008E7E07">
              <w:rPr>
                <w:rFonts w:cs="Arial"/>
                <w:sz w:val="20"/>
                <w:szCs w:val="20"/>
              </w:rPr>
              <w:t>envolvam</w:t>
            </w:r>
            <w:proofErr w:type="gramEnd"/>
            <w:r w:rsidRPr="008E7E07">
              <w:rPr>
                <w:rFonts w:cs="Arial"/>
                <w:sz w:val="20"/>
                <w:szCs w:val="20"/>
              </w:rPr>
              <w:t xml:space="preserve"> mais de um órgão, inclusive se de diferentes entes da Federação.</w:t>
            </w:r>
          </w:p>
          <w:p w:rsidR="00D84E94" w:rsidRPr="008E7E07" w:rsidRDefault="00D84E94" w:rsidP="003433B7">
            <w:pPr>
              <w:ind w:left="1701"/>
              <w:jc w:val="both"/>
              <w:rPr>
                <w:rFonts w:cs="Arial"/>
                <w:sz w:val="20"/>
                <w:szCs w:val="20"/>
              </w:rPr>
            </w:pPr>
            <w:r w:rsidRPr="008E7E07">
              <w:rPr>
                <w:rFonts w:cs="Arial"/>
                <w:sz w:val="20"/>
                <w:szCs w:val="20"/>
              </w:rPr>
              <w:lastRenderedPageBreak/>
              <w:t xml:space="preserve">§ 2º Os atos públicos de liberação para produtos que envolvam concomitantemente análises e aprovações do Ministério da Agricultura, da Agência Nacional de Vigilância Sanitária – </w:t>
            </w:r>
            <w:proofErr w:type="gramStart"/>
            <w:r w:rsidRPr="008E7E07">
              <w:rPr>
                <w:rFonts w:cs="Arial"/>
                <w:sz w:val="20"/>
                <w:szCs w:val="20"/>
              </w:rPr>
              <w:t>Anvisa</w:t>
            </w:r>
            <w:proofErr w:type="gramEnd"/>
            <w:r w:rsidRPr="008E7E07">
              <w:rPr>
                <w:rFonts w:cs="Arial"/>
                <w:sz w:val="20"/>
                <w:szCs w:val="20"/>
              </w:rPr>
              <w:t xml:space="preserve"> e de órgãos ambientais, serão unificados também na forma do § 1º. </w:t>
            </w:r>
          </w:p>
          <w:p w:rsidR="00D84E94" w:rsidRPr="008E7E07" w:rsidRDefault="00D84E94" w:rsidP="003433B7">
            <w:pPr>
              <w:ind w:left="1701"/>
              <w:jc w:val="both"/>
              <w:rPr>
                <w:rFonts w:cs="Arial"/>
                <w:sz w:val="20"/>
                <w:szCs w:val="20"/>
              </w:rPr>
            </w:pPr>
            <w:r w:rsidRPr="008E7E07">
              <w:rPr>
                <w:rFonts w:cs="Arial"/>
                <w:sz w:val="20"/>
                <w:szCs w:val="20"/>
              </w:rPr>
              <w:t xml:space="preserve">§ 3º Os defensivos agrícolas já registrados na </w:t>
            </w:r>
            <w:proofErr w:type="gramStart"/>
            <w:r w:rsidRPr="008E7E07">
              <w:rPr>
                <w:rFonts w:cs="Arial"/>
                <w:sz w:val="20"/>
                <w:szCs w:val="20"/>
              </w:rPr>
              <w:t>Anvisa</w:t>
            </w:r>
            <w:proofErr w:type="gramEnd"/>
            <w:r w:rsidRPr="008E7E07">
              <w:rPr>
                <w:rFonts w:cs="Arial"/>
                <w:sz w:val="20"/>
                <w:szCs w:val="20"/>
              </w:rPr>
              <w:t xml:space="preserve"> prescindem de registro nos órgãos sanitários estaduais, distritais e municipais.</w:t>
            </w:r>
          </w:p>
          <w:p w:rsidR="0060555F" w:rsidRPr="008E7E07" w:rsidRDefault="0060555F" w:rsidP="008E7E07">
            <w:pPr>
              <w:jc w:val="both"/>
              <w:rPr>
                <w:sz w:val="20"/>
                <w:szCs w:val="20"/>
              </w:rPr>
            </w:pPr>
          </w:p>
        </w:tc>
        <w:tc>
          <w:tcPr>
            <w:tcW w:w="5501" w:type="dxa"/>
          </w:tcPr>
          <w:p w:rsidR="00D84E94" w:rsidRPr="008E7E07" w:rsidRDefault="00D84E94" w:rsidP="008E7E07">
            <w:pPr>
              <w:jc w:val="both"/>
              <w:rPr>
                <w:rFonts w:cs="Arial"/>
                <w:sz w:val="20"/>
                <w:szCs w:val="20"/>
              </w:rPr>
            </w:pPr>
            <w:r w:rsidRPr="008E7E07">
              <w:rPr>
                <w:sz w:val="20"/>
                <w:szCs w:val="20"/>
              </w:rPr>
              <w:lastRenderedPageBreak/>
              <w:t xml:space="preserve">- </w:t>
            </w:r>
            <w:r w:rsidRPr="008E7E07">
              <w:rPr>
                <w:rFonts w:cs="Arial"/>
                <w:sz w:val="20"/>
                <w:szCs w:val="20"/>
              </w:rPr>
              <w:t>Regulamentação da rede nacional de dados e documentos da administração pública</w:t>
            </w:r>
            <w:r w:rsidRPr="008E7E07">
              <w:rPr>
                <w:rFonts w:cs="Arial"/>
                <w:sz w:val="20"/>
                <w:szCs w:val="20"/>
              </w:rPr>
              <w:t>;</w:t>
            </w:r>
          </w:p>
          <w:p w:rsidR="0060555F" w:rsidRPr="008E7E07" w:rsidRDefault="0060555F" w:rsidP="008E7E07">
            <w:pPr>
              <w:jc w:val="both"/>
              <w:rPr>
                <w:sz w:val="20"/>
                <w:szCs w:val="20"/>
              </w:rPr>
            </w:pPr>
          </w:p>
        </w:tc>
      </w:tr>
      <w:tr w:rsidR="0060555F" w:rsidTr="008E7E07">
        <w:tc>
          <w:tcPr>
            <w:tcW w:w="8719" w:type="dxa"/>
          </w:tcPr>
          <w:p w:rsidR="00D84E94" w:rsidRPr="008E7E07" w:rsidRDefault="00D84E94" w:rsidP="003433B7">
            <w:pPr>
              <w:ind w:left="1701"/>
              <w:jc w:val="both"/>
              <w:rPr>
                <w:rFonts w:cs="Arial"/>
                <w:sz w:val="20"/>
                <w:szCs w:val="20"/>
              </w:rPr>
            </w:pPr>
            <w:r w:rsidRPr="008E7E07">
              <w:rPr>
                <w:rFonts w:cs="Arial"/>
                <w:b/>
                <w:sz w:val="20"/>
                <w:szCs w:val="20"/>
              </w:rPr>
              <w:lastRenderedPageBreak/>
              <w:t>Art. 51.</w:t>
            </w:r>
            <w:r w:rsidRPr="008E7E07">
              <w:rPr>
                <w:rFonts w:cs="Arial"/>
                <w:sz w:val="20"/>
                <w:szCs w:val="20"/>
              </w:rPr>
              <w:t xml:space="preserve"> Para os fins de direito urbanístico, não se considera edificação a mera instalação de equipamento, independentemente do tamanho, em bem imóvel de qualquer tipo.</w:t>
            </w:r>
          </w:p>
          <w:p w:rsidR="00D84E94" w:rsidRPr="008E7E07" w:rsidRDefault="00D84E94" w:rsidP="003433B7">
            <w:pPr>
              <w:ind w:left="1701"/>
              <w:jc w:val="both"/>
              <w:rPr>
                <w:sz w:val="20"/>
                <w:szCs w:val="20"/>
              </w:rPr>
            </w:pPr>
            <w:r w:rsidRPr="008E7E07">
              <w:rPr>
                <w:rFonts w:cs="Arial"/>
                <w:i/>
                <w:sz w:val="20"/>
                <w:szCs w:val="20"/>
              </w:rPr>
              <w:t>Parágrafo único</w:t>
            </w:r>
            <w:r w:rsidRPr="008E7E07">
              <w:rPr>
                <w:rFonts w:cs="Arial"/>
                <w:sz w:val="20"/>
                <w:szCs w:val="20"/>
              </w:rPr>
              <w:t xml:space="preserve">. O disposto no </w:t>
            </w:r>
            <w:r w:rsidRPr="008E7E07">
              <w:rPr>
                <w:rFonts w:cs="Arial"/>
                <w:b/>
                <w:bCs/>
                <w:sz w:val="20"/>
                <w:szCs w:val="20"/>
              </w:rPr>
              <w:t xml:space="preserve">caput </w:t>
            </w:r>
            <w:r w:rsidRPr="008E7E07">
              <w:rPr>
                <w:rFonts w:cs="Arial"/>
                <w:sz w:val="20"/>
                <w:szCs w:val="20"/>
              </w:rPr>
              <w:t>se estende aos equipamentos de que trata a Lei nº 13.116, de 20 de abril de 2015.</w:t>
            </w:r>
          </w:p>
          <w:p w:rsidR="0060555F" w:rsidRPr="008E7E07" w:rsidRDefault="0060555F" w:rsidP="008E7E07">
            <w:pPr>
              <w:jc w:val="both"/>
              <w:rPr>
                <w:sz w:val="20"/>
                <w:szCs w:val="20"/>
              </w:rPr>
            </w:pPr>
          </w:p>
        </w:tc>
        <w:tc>
          <w:tcPr>
            <w:tcW w:w="5501" w:type="dxa"/>
          </w:tcPr>
          <w:p w:rsidR="0060555F" w:rsidRPr="008E7E07" w:rsidRDefault="00D84E94" w:rsidP="008E7E07">
            <w:pPr>
              <w:jc w:val="both"/>
              <w:rPr>
                <w:rFonts w:cs="Arial"/>
                <w:b/>
                <w:sz w:val="20"/>
                <w:szCs w:val="20"/>
              </w:rPr>
            </w:pPr>
            <w:r w:rsidRPr="008E7E07">
              <w:rPr>
                <w:sz w:val="20"/>
                <w:szCs w:val="20"/>
              </w:rPr>
              <w:t xml:space="preserve">- </w:t>
            </w:r>
            <w:r w:rsidRPr="008E7E07">
              <w:rPr>
                <w:rFonts w:cs="Arial"/>
                <w:sz w:val="20"/>
                <w:szCs w:val="20"/>
              </w:rPr>
              <w:t>Equipamentos como não edificações</w:t>
            </w:r>
            <w:r w:rsidRPr="008E7E07">
              <w:rPr>
                <w:rFonts w:cs="Arial"/>
                <w:sz w:val="20"/>
                <w:szCs w:val="20"/>
              </w:rPr>
              <w:t>;</w:t>
            </w:r>
          </w:p>
        </w:tc>
      </w:tr>
      <w:tr w:rsidR="0060555F" w:rsidTr="008E7E07">
        <w:tc>
          <w:tcPr>
            <w:tcW w:w="8719" w:type="dxa"/>
          </w:tcPr>
          <w:p w:rsidR="000C1E40" w:rsidRDefault="000C1E40" w:rsidP="008E7E07">
            <w:pPr>
              <w:jc w:val="both"/>
              <w:rPr>
                <w:rFonts w:cs="Arial"/>
                <w:sz w:val="20"/>
                <w:szCs w:val="20"/>
              </w:rPr>
            </w:pPr>
            <w:r w:rsidRPr="008E7E07">
              <w:rPr>
                <w:rFonts w:cs="Arial"/>
                <w:sz w:val="20"/>
                <w:szCs w:val="20"/>
              </w:rPr>
              <w:t>A Lei nº 11.598, 03 de dezembro de 2007, passa a vigorar com as seguintes alterações:</w:t>
            </w:r>
          </w:p>
          <w:p w:rsidR="003433B7" w:rsidRPr="008E7E07" w:rsidRDefault="003433B7" w:rsidP="008E7E07">
            <w:pPr>
              <w:jc w:val="both"/>
              <w:rPr>
                <w:rFonts w:cs="Arial"/>
                <w:sz w:val="20"/>
                <w:szCs w:val="20"/>
              </w:rPr>
            </w:pPr>
          </w:p>
          <w:p w:rsidR="000C1E40" w:rsidRPr="008E7E07" w:rsidRDefault="000C1E40" w:rsidP="003433B7">
            <w:pPr>
              <w:ind w:left="1701"/>
              <w:jc w:val="both"/>
              <w:rPr>
                <w:rFonts w:cs="Arial"/>
                <w:sz w:val="20"/>
                <w:szCs w:val="20"/>
              </w:rPr>
            </w:pPr>
            <w:r w:rsidRPr="008E7E07">
              <w:rPr>
                <w:rFonts w:cs="Arial"/>
                <w:sz w:val="20"/>
                <w:szCs w:val="20"/>
              </w:rPr>
              <w:t xml:space="preserve"> </w:t>
            </w:r>
            <w:proofErr w:type="gramStart"/>
            <w:r w:rsidRPr="008E7E07">
              <w:rPr>
                <w:rFonts w:cs="Arial"/>
                <w:sz w:val="20"/>
                <w:szCs w:val="20"/>
              </w:rPr>
              <w:t>“</w:t>
            </w:r>
            <w:r w:rsidRPr="008E7E07">
              <w:rPr>
                <w:rFonts w:cs="Arial"/>
                <w:b/>
                <w:sz w:val="20"/>
                <w:szCs w:val="20"/>
              </w:rPr>
              <w:t>Art.</w:t>
            </w:r>
            <w:proofErr w:type="gramEnd"/>
            <w:r w:rsidRPr="008E7E07">
              <w:rPr>
                <w:rFonts w:cs="Arial"/>
                <w:b/>
                <w:sz w:val="20"/>
                <w:szCs w:val="20"/>
              </w:rPr>
              <w:t xml:space="preserve"> 6º</w:t>
            </w:r>
            <w:r w:rsidRPr="008E7E07">
              <w:rPr>
                <w:rFonts w:cs="Arial"/>
                <w:sz w:val="20"/>
                <w:szCs w:val="20"/>
              </w:rPr>
              <w:t xml:space="preserve"> Os Municípios que aderirem à </w:t>
            </w:r>
            <w:proofErr w:type="spellStart"/>
            <w:r w:rsidRPr="008E7E07">
              <w:rPr>
                <w:rFonts w:cs="Arial"/>
                <w:sz w:val="20"/>
                <w:szCs w:val="20"/>
              </w:rPr>
              <w:t>Redesim</w:t>
            </w:r>
            <w:proofErr w:type="spellEnd"/>
            <w:r w:rsidRPr="008E7E07">
              <w:rPr>
                <w:rFonts w:cs="Arial"/>
                <w:sz w:val="20"/>
                <w:szCs w:val="20"/>
              </w:rPr>
              <w:t xml:space="preserve"> emitirão Alvará de Funcionamento Provisório, que permitirá o início de operação do estabelecimento imediatamente após o ato de inscrição tributária, exceto nos casos em que o grau de risco da atividade seja considerado alto.</w:t>
            </w:r>
          </w:p>
          <w:p w:rsidR="000C1E40" w:rsidRPr="008E7E07" w:rsidRDefault="000C1E40" w:rsidP="003433B7">
            <w:pPr>
              <w:ind w:left="1701"/>
              <w:jc w:val="both"/>
              <w:rPr>
                <w:rFonts w:cs="Arial"/>
                <w:sz w:val="20"/>
                <w:szCs w:val="20"/>
              </w:rPr>
            </w:pPr>
            <w:r w:rsidRPr="008E7E07">
              <w:rPr>
                <w:rFonts w:cs="Arial"/>
                <w:sz w:val="20"/>
                <w:szCs w:val="20"/>
              </w:rPr>
              <w:t>§ 1º A conversão do Alvará de Funcionamento Provisório em Alvará de Funcionamento será condicionada à apresentação das licenças ou autorizações de funcionamento emitidas pelos órgãos e entidades competentes, ressalvados os casos de baixo risco que importam na dispensa do alvará.</w:t>
            </w:r>
          </w:p>
          <w:p w:rsidR="000C1E40" w:rsidRPr="008E7E07" w:rsidRDefault="000C1E40" w:rsidP="003433B7">
            <w:pPr>
              <w:ind w:left="1701"/>
              <w:jc w:val="both"/>
              <w:rPr>
                <w:rFonts w:cs="Arial"/>
                <w:sz w:val="20"/>
                <w:szCs w:val="20"/>
              </w:rPr>
            </w:pPr>
            <w:proofErr w:type="gramStart"/>
            <w:r w:rsidRPr="008E7E07">
              <w:rPr>
                <w:rFonts w:cs="Arial"/>
                <w:sz w:val="20"/>
                <w:szCs w:val="20"/>
              </w:rPr>
              <w:t>..............................</w:t>
            </w:r>
            <w:proofErr w:type="gramEnd"/>
            <w:r w:rsidRPr="008E7E07">
              <w:rPr>
                <w:rFonts w:cs="Arial"/>
                <w:sz w:val="20"/>
                <w:szCs w:val="20"/>
              </w:rPr>
              <w:t>” (NR)</w:t>
            </w:r>
          </w:p>
          <w:p w:rsidR="0060555F" w:rsidRPr="008E7E07" w:rsidRDefault="0060555F" w:rsidP="008E7E07">
            <w:pPr>
              <w:jc w:val="both"/>
              <w:rPr>
                <w:sz w:val="20"/>
                <w:szCs w:val="20"/>
              </w:rPr>
            </w:pPr>
          </w:p>
        </w:tc>
        <w:tc>
          <w:tcPr>
            <w:tcW w:w="5501" w:type="dxa"/>
          </w:tcPr>
          <w:p w:rsidR="0060555F" w:rsidRPr="008E7E07" w:rsidRDefault="000C1E40" w:rsidP="008E7E07">
            <w:pPr>
              <w:jc w:val="both"/>
              <w:rPr>
                <w:sz w:val="20"/>
                <w:szCs w:val="20"/>
              </w:rPr>
            </w:pPr>
            <w:r w:rsidRPr="008E7E07">
              <w:rPr>
                <w:sz w:val="20"/>
                <w:szCs w:val="20"/>
              </w:rPr>
              <w:t xml:space="preserve">- Municípios que aderirem ao </w:t>
            </w:r>
            <w:proofErr w:type="spellStart"/>
            <w:r w:rsidRPr="008E7E07">
              <w:rPr>
                <w:sz w:val="20"/>
                <w:szCs w:val="20"/>
              </w:rPr>
              <w:t>Redesim</w:t>
            </w:r>
            <w:proofErr w:type="spellEnd"/>
            <w:r w:rsidRPr="008E7E07">
              <w:rPr>
                <w:sz w:val="20"/>
                <w:szCs w:val="20"/>
              </w:rPr>
              <w:t xml:space="preserve"> emitirão alvará de funcionamento provisório;</w:t>
            </w:r>
          </w:p>
        </w:tc>
      </w:tr>
      <w:tr w:rsidR="0060555F" w:rsidTr="008E7E07">
        <w:tc>
          <w:tcPr>
            <w:tcW w:w="8719" w:type="dxa"/>
          </w:tcPr>
          <w:p w:rsidR="000C1E40" w:rsidRPr="008E7E07" w:rsidRDefault="000C1E40" w:rsidP="003433B7">
            <w:pPr>
              <w:ind w:left="1701"/>
              <w:jc w:val="both"/>
              <w:rPr>
                <w:rFonts w:cs="Arial"/>
                <w:color w:val="000000" w:themeColor="text1"/>
                <w:sz w:val="20"/>
                <w:szCs w:val="20"/>
              </w:rPr>
            </w:pPr>
            <w:r w:rsidRPr="008E7E07">
              <w:rPr>
                <w:rFonts w:cs="Arial"/>
                <w:color w:val="000000" w:themeColor="text1"/>
                <w:sz w:val="20"/>
                <w:szCs w:val="20"/>
              </w:rPr>
              <w:t xml:space="preserve">É lícita a emissão de receitas digitais que permitam a compra periódica por tempo determinado do mesmo medicamento, observada a responsabilidade profissional do médico na prescrição dos prazos. </w:t>
            </w:r>
          </w:p>
          <w:p w:rsidR="0060555F" w:rsidRPr="008E7E07" w:rsidRDefault="0060555F" w:rsidP="008E7E07">
            <w:pPr>
              <w:jc w:val="both"/>
              <w:rPr>
                <w:sz w:val="20"/>
                <w:szCs w:val="20"/>
              </w:rPr>
            </w:pPr>
          </w:p>
        </w:tc>
        <w:tc>
          <w:tcPr>
            <w:tcW w:w="5501" w:type="dxa"/>
          </w:tcPr>
          <w:p w:rsidR="0060555F" w:rsidRPr="008E7E07" w:rsidRDefault="000C1E40" w:rsidP="008E7E07">
            <w:pPr>
              <w:jc w:val="both"/>
              <w:rPr>
                <w:sz w:val="20"/>
                <w:szCs w:val="20"/>
              </w:rPr>
            </w:pPr>
            <w:r w:rsidRPr="008E7E07">
              <w:rPr>
                <w:sz w:val="20"/>
                <w:szCs w:val="20"/>
              </w:rPr>
              <w:t>- Emissão de receitas digitais para compra periódica por tempo determinado;</w:t>
            </w:r>
          </w:p>
        </w:tc>
      </w:tr>
      <w:tr w:rsidR="0060555F" w:rsidTr="008E7E07">
        <w:tc>
          <w:tcPr>
            <w:tcW w:w="8719" w:type="dxa"/>
          </w:tcPr>
          <w:p w:rsidR="0060555F" w:rsidRDefault="000C1E40" w:rsidP="003433B7">
            <w:pPr>
              <w:ind w:left="1701" w:firstLine="9"/>
              <w:jc w:val="both"/>
              <w:rPr>
                <w:rFonts w:cs="Arial"/>
                <w:sz w:val="20"/>
                <w:szCs w:val="20"/>
              </w:rPr>
            </w:pPr>
            <w:r w:rsidRPr="008E7E07">
              <w:rPr>
                <w:rFonts w:cs="Arial"/>
                <w:b/>
                <w:sz w:val="20"/>
                <w:szCs w:val="20"/>
              </w:rPr>
              <w:t>Art. 50.</w:t>
            </w:r>
            <w:r w:rsidRPr="008E7E07">
              <w:rPr>
                <w:rFonts w:cs="Arial"/>
                <w:sz w:val="20"/>
                <w:szCs w:val="20"/>
              </w:rPr>
              <w:t xml:space="preserve"> A medida ou sanção administrativa que ilegalmente restringir a atividade econômica, em todo ou em parte, conforme as disposições legais</w:t>
            </w:r>
            <w:proofErr w:type="gramStart"/>
            <w:r w:rsidRPr="008E7E07">
              <w:rPr>
                <w:rFonts w:cs="Arial"/>
                <w:sz w:val="20"/>
                <w:szCs w:val="20"/>
              </w:rPr>
              <w:t>, autoriza</w:t>
            </w:r>
            <w:proofErr w:type="gramEnd"/>
            <w:r w:rsidRPr="008E7E07">
              <w:rPr>
                <w:rFonts w:cs="Arial"/>
                <w:sz w:val="20"/>
                <w:szCs w:val="20"/>
              </w:rPr>
              <w:t xml:space="preserve"> a concessão de indenização por danos cíveis ao particular lesado, inclusive acerca de prejuízos e lucros cessantes.</w:t>
            </w:r>
          </w:p>
          <w:p w:rsidR="003433B7" w:rsidRPr="008E7E07" w:rsidRDefault="003433B7" w:rsidP="003433B7">
            <w:pPr>
              <w:ind w:left="1701" w:firstLine="9"/>
              <w:jc w:val="both"/>
              <w:rPr>
                <w:sz w:val="20"/>
                <w:szCs w:val="20"/>
              </w:rPr>
            </w:pPr>
          </w:p>
        </w:tc>
        <w:tc>
          <w:tcPr>
            <w:tcW w:w="5501" w:type="dxa"/>
          </w:tcPr>
          <w:p w:rsidR="000C1E40" w:rsidRPr="008E7E07" w:rsidRDefault="000C1E40" w:rsidP="008E7E07">
            <w:pPr>
              <w:jc w:val="both"/>
              <w:rPr>
                <w:rFonts w:cs="Arial"/>
                <w:b/>
                <w:bCs/>
                <w:sz w:val="20"/>
                <w:szCs w:val="20"/>
              </w:rPr>
            </w:pPr>
            <w:r w:rsidRPr="008E7E07">
              <w:rPr>
                <w:sz w:val="20"/>
                <w:szCs w:val="20"/>
              </w:rPr>
              <w:t xml:space="preserve">- </w:t>
            </w:r>
            <w:r w:rsidRPr="008E7E07">
              <w:rPr>
                <w:rFonts w:cs="Arial"/>
                <w:bCs/>
                <w:sz w:val="20"/>
                <w:szCs w:val="20"/>
              </w:rPr>
              <w:t>Indenizações pela violação de liberdade econômica</w:t>
            </w:r>
            <w:r w:rsidRPr="008E7E07">
              <w:rPr>
                <w:rFonts w:cs="Arial"/>
                <w:bCs/>
                <w:sz w:val="20"/>
                <w:szCs w:val="20"/>
              </w:rPr>
              <w:t>;</w:t>
            </w:r>
          </w:p>
          <w:p w:rsidR="0060555F" w:rsidRPr="008E7E07" w:rsidRDefault="0060555F" w:rsidP="008E7E07">
            <w:pPr>
              <w:jc w:val="both"/>
              <w:rPr>
                <w:sz w:val="20"/>
                <w:szCs w:val="20"/>
              </w:rPr>
            </w:pPr>
          </w:p>
        </w:tc>
      </w:tr>
      <w:tr w:rsidR="0060555F" w:rsidTr="008E7E07">
        <w:tc>
          <w:tcPr>
            <w:tcW w:w="8719" w:type="dxa"/>
          </w:tcPr>
          <w:p w:rsidR="000C1E40" w:rsidRPr="008E7E07" w:rsidRDefault="000C1E40" w:rsidP="003433B7">
            <w:pPr>
              <w:ind w:left="1701" w:firstLine="9"/>
              <w:jc w:val="both"/>
              <w:rPr>
                <w:rFonts w:cs="Arial"/>
                <w:sz w:val="20"/>
                <w:szCs w:val="20"/>
              </w:rPr>
            </w:pPr>
            <w:r w:rsidRPr="008E7E07">
              <w:rPr>
                <w:rFonts w:cs="Arial"/>
                <w:b/>
                <w:sz w:val="20"/>
                <w:szCs w:val="20"/>
              </w:rPr>
              <w:lastRenderedPageBreak/>
              <w:t>Art. 48.</w:t>
            </w:r>
            <w:r w:rsidRPr="008E7E07">
              <w:rPr>
                <w:rFonts w:cs="Arial"/>
                <w:sz w:val="20"/>
                <w:szCs w:val="20"/>
              </w:rPr>
              <w:t xml:space="preserve"> Na hipótese de ausência de ato do Poder Executivo que trata o inciso I do § 1º do art. 3º, será aplicada resolução do Comitê para Gestão da Rede Nacional para a Simplificação do Registro e da Legalização de Empresas e Negócios – CGSIM, independentemente da aderência do ente federativo à Rede Nacional para a Simplificação do Registro e da Legalização de Empresas e Negócios – </w:t>
            </w:r>
            <w:proofErr w:type="spellStart"/>
            <w:r w:rsidRPr="008E7E07">
              <w:rPr>
                <w:rFonts w:cs="Arial"/>
                <w:sz w:val="20"/>
                <w:szCs w:val="20"/>
              </w:rPr>
              <w:t>Redesim</w:t>
            </w:r>
            <w:proofErr w:type="spellEnd"/>
            <w:r w:rsidRPr="008E7E07">
              <w:rPr>
                <w:rFonts w:cs="Arial"/>
                <w:sz w:val="20"/>
                <w:szCs w:val="20"/>
              </w:rPr>
              <w:t>.</w:t>
            </w:r>
          </w:p>
          <w:p w:rsidR="000C1E40" w:rsidRPr="008E7E07" w:rsidRDefault="000C1E40" w:rsidP="003433B7">
            <w:pPr>
              <w:ind w:left="1701" w:firstLine="9"/>
              <w:jc w:val="both"/>
              <w:rPr>
                <w:rFonts w:cs="Arial"/>
                <w:sz w:val="20"/>
                <w:szCs w:val="20"/>
              </w:rPr>
            </w:pPr>
            <w:r w:rsidRPr="008E7E07">
              <w:rPr>
                <w:rFonts w:cs="Arial"/>
                <w:sz w:val="20"/>
                <w:szCs w:val="20"/>
              </w:rPr>
              <w:t xml:space="preserve">§ 1º Na hipótese de existência de legislação estadual, distrital ou municipal sobre a classificação de atividades de baixo risco a que se refere o inciso I do </w:t>
            </w:r>
            <w:r w:rsidRPr="008E7E07">
              <w:rPr>
                <w:rFonts w:cs="Arial"/>
                <w:b/>
                <w:sz w:val="20"/>
                <w:szCs w:val="20"/>
              </w:rPr>
              <w:t>caput</w:t>
            </w:r>
            <w:r w:rsidRPr="008E7E07">
              <w:rPr>
                <w:rFonts w:cs="Arial"/>
                <w:sz w:val="20"/>
                <w:szCs w:val="20"/>
              </w:rPr>
              <w:t xml:space="preserve"> do art. 3º, o ente federativo que editar ou tiver editado norma específica, encaminhará notificação ao Ministério da Economia sobre a vigência de sua norma.</w:t>
            </w:r>
          </w:p>
          <w:p w:rsidR="000C1E40" w:rsidRPr="008E7E07" w:rsidRDefault="000C1E40" w:rsidP="003433B7">
            <w:pPr>
              <w:ind w:left="1701" w:firstLine="9"/>
              <w:jc w:val="both"/>
              <w:rPr>
                <w:rFonts w:cs="Arial"/>
                <w:sz w:val="20"/>
                <w:szCs w:val="20"/>
              </w:rPr>
            </w:pPr>
            <w:r w:rsidRPr="008E7E07">
              <w:rPr>
                <w:rFonts w:cs="Arial"/>
                <w:sz w:val="20"/>
                <w:szCs w:val="20"/>
              </w:rPr>
              <w:t>§ 2º É considerada, desde já, atividade de baixo risco o depósito e o armazenamento de produtos:</w:t>
            </w:r>
          </w:p>
          <w:p w:rsidR="000C1E40" w:rsidRPr="008E7E07" w:rsidRDefault="000C1E40" w:rsidP="003433B7">
            <w:pPr>
              <w:ind w:left="1701" w:firstLine="9"/>
              <w:jc w:val="both"/>
              <w:rPr>
                <w:rFonts w:cs="Arial"/>
                <w:sz w:val="20"/>
                <w:szCs w:val="20"/>
              </w:rPr>
            </w:pPr>
            <w:r w:rsidRPr="008E7E07">
              <w:rPr>
                <w:rFonts w:cs="Arial"/>
                <w:sz w:val="20"/>
                <w:szCs w:val="20"/>
              </w:rPr>
              <w:t>I – que não sejam explosivos;</w:t>
            </w:r>
          </w:p>
          <w:p w:rsidR="000C1E40" w:rsidRPr="008E7E07" w:rsidRDefault="000C1E40" w:rsidP="003433B7">
            <w:pPr>
              <w:ind w:left="1701" w:firstLine="9"/>
              <w:jc w:val="both"/>
              <w:rPr>
                <w:rFonts w:cs="Arial"/>
                <w:sz w:val="20"/>
                <w:szCs w:val="20"/>
              </w:rPr>
            </w:pPr>
            <w:r w:rsidRPr="008E7E07">
              <w:rPr>
                <w:rFonts w:cs="Arial"/>
                <w:sz w:val="20"/>
                <w:szCs w:val="20"/>
              </w:rPr>
              <w:t xml:space="preserve">II – para os quais os depositados estejam embalados em embalagens herméticas e certificadas pelo Instituto Nacional de Metrologia, Qualidade e Tecnologia – INMETRO; </w:t>
            </w:r>
            <w:proofErr w:type="gramStart"/>
            <w:r w:rsidRPr="008E7E07">
              <w:rPr>
                <w:rFonts w:cs="Arial"/>
                <w:sz w:val="20"/>
                <w:szCs w:val="20"/>
              </w:rPr>
              <w:t>e</w:t>
            </w:r>
            <w:proofErr w:type="gramEnd"/>
          </w:p>
          <w:p w:rsidR="000C1E40" w:rsidRPr="008E7E07" w:rsidRDefault="000C1E40" w:rsidP="003433B7">
            <w:pPr>
              <w:ind w:left="1701" w:firstLine="9"/>
              <w:jc w:val="both"/>
              <w:rPr>
                <w:rFonts w:cs="Arial"/>
                <w:sz w:val="20"/>
                <w:szCs w:val="20"/>
              </w:rPr>
            </w:pPr>
            <w:r w:rsidRPr="008E7E07">
              <w:rPr>
                <w:rFonts w:cs="Arial"/>
                <w:sz w:val="20"/>
                <w:szCs w:val="20"/>
              </w:rPr>
              <w:t>III – em cujos depósitos não haja o fracionamento e ou abertura das embalagens dos produtos.</w:t>
            </w:r>
          </w:p>
          <w:p w:rsidR="000C1E40" w:rsidRPr="008E7E07" w:rsidRDefault="000C1E40" w:rsidP="003433B7">
            <w:pPr>
              <w:ind w:left="1701" w:firstLine="9"/>
              <w:jc w:val="both"/>
              <w:rPr>
                <w:rFonts w:cs="Arial"/>
                <w:sz w:val="20"/>
                <w:szCs w:val="20"/>
              </w:rPr>
            </w:pPr>
            <w:r w:rsidRPr="008E7E07">
              <w:rPr>
                <w:rFonts w:cs="Arial"/>
                <w:sz w:val="20"/>
                <w:szCs w:val="20"/>
              </w:rPr>
              <w:t>§ 3º Dispensa-se a concessão de alvará de funcionamento ou ato administrativo congênere para o início de atividade econômica estabelecida em edificação nova de até 1.500 m</w:t>
            </w:r>
            <w:r w:rsidRPr="008E7E07">
              <w:rPr>
                <w:rFonts w:cs="Arial"/>
                <w:sz w:val="20"/>
                <w:szCs w:val="20"/>
                <w:vertAlign w:val="superscript"/>
              </w:rPr>
              <w:t>2</w:t>
            </w:r>
            <w:r w:rsidRPr="008E7E07">
              <w:rPr>
                <w:rFonts w:cs="Arial"/>
                <w:sz w:val="20"/>
                <w:szCs w:val="20"/>
              </w:rPr>
              <w:t xml:space="preserve"> (mil e quinhentos metros quadrados) e até </w:t>
            </w:r>
            <w:proofErr w:type="gramStart"/>
            <w:r w:rsidRPr="008E7E07">
              <w:rPr>
                <w:rFonts w:cs="Arial"/>
                <w:sz w:val="20"/>
                <w:szCs w:val="20"/>
              </w:rPr>
              <w:t>3</w:t>
            </w:r>
            <w:proofErr w:type="gramEnd"/>
            <w:r w:rsidRPr="008E7E07">
              <w:rPr>
                <w:rFonts w:cs="Arial"/>
                <w:sz w:val="20"/>
                <w:szCs w:val="20"/>
              </w:rPr>
              <w:t xml:space="preserve"> (três) pavimentos, desde que já vistoriadas pelo Corpo de Bombeiros Militar, mantendo-se a necessidade de adequabilidade locacional dos estabelecimentos e a observância à política de desenvolvimento urbano.</w:t>
            </w:r>
          </w:p>
          <w:p w:rsidR="0060555F" w:rsidRPr="008E7E07" w:rsidRDefault="0060555F" w:rsidP="008E7E07">
            <w:pPr>
              <w:jc w:val="both"/>
              <w:rPr>
                <w:sz w:val="20"/>
                <w:szCs w:val="20"/>
              </w:rPr>
            </w:pPr>
          </w:p>
        </w:tc>
        <w:tc>
          <w:tcPr>
            <w:tcW w:w="5501" w:type="dxa"/>
          </w:tcPr>
          <w:p w:rsidR="000C1E40" w:rsidRPr="008E7E07" w:rsidRDefault="000C1E40" w:rsidP="008E7E07">
            <w:pPr>
              <w:jc w:val="both"/>
              <w:rPr>
                <w:rFonts w:cs="Arial"/>
                <w:sz w:val="20"/>
                <w:szCs w:val="20"/>
              </w:rPr>
            </w:pPr>
            <w:r w:rsidRPr="008E7E07">
              <w:rPr>
                <w:sz w:val="20"/>
                <w:szCs w:val="20"/>
              </w:rPr>
              <w:t xml:space="preserve">- </w:t>
            </w:r>
            <w:r w:rsidRPr="008E7E07">
              <w:rPr>
                <w:rFonts w:cs="Arial"/>
                <w:sz w:val="20"/>
                <w:szCs w:val="20"/>
              </w:rPr>
              <w:t>Subsidiariedade da regulamentação de baixo risco</w:t>
            </w:r>
            <w:r w:rsidRPr="008E7E07">
              <w:rPr>
                <w:rFonts w:cs="Arial"/>
                <w:sz w:val="20"/>
                <w:szCs w:val="20"/>
              </w:rPr>
              <w:t>;</w:t>
            </w:r>
          </w:p>
          <w:p w:rsidR="0060555F" w:rsidRPr="008E7E07" w:rsidRDefault="0060555F" w:rsidP="008E7E07">
            <w:pPr>
              <w:jc w:val="both"/>
              <w:rPr>
                <w:sz w:val="20"/>
                <w:szCs w:val="20"/>
              </w:rPr>
            </w:pPr>
          </w:p>
        </w:tc>
      </w:tr>
      <w:tr w:rsidR="0060555F" w:rsidTr="008E7E07">
        <w:tc>
          <w:tcPr>
            <w:tcW w:w="8719" w:type="dxa"/>
          </w:tcPr>
          <w:p w:rsidR="004F1720" w:rsidRDefault="004F1720" w:rsidP="008E7E07">
            <w:pPr>
              <w:jc w:val="both"/>
              <w:rPr>
                <w:rFonts w:cs="Arial"/>
                <w:sz w:val="20"/>
                <w:szCs w:val="20"/>
              </w:rPr>
            </w:pPr>
            <w:r w:rsidRPr="008E7E07">
              <w:rPr>
                <w:rFonts w:cs="Arial"/>
                <w:sz w:val="20"/>
                <w:szCs w:val="20"/>
              </w:rPr>
              <w:t>A Lei nº 12.529, de 30 de novembro de 2011, passa a vigorar com as seguintes alterações:</w:t>
            </w:r>
          </w:p>
          <w:p w:rsidR="003433B7" w:rsidRPr="008E7E07" w:rsidRDefault="003433B7" w:rsidP="008E7E07">
            <w:pPr>
              <w:jc w:val="both"/>
              <w:rPr>
                <w:rFonts w:cs="Arial"/>
                <w:sz w:val="20"/>
                <w:szCs w:val="20"/>
              </w:rPr>
            </w:pPr>
          </w:p>
          <w:p w:rsidR="004F1720" w:rsidRPr="008E7E07" w:rsidRDefault="004F1720" w:rsidP="003433B7">
            <w:pPr>
              <w:ind w:left="1701"/>
              <w:jc w:val="both"/>
              <w:rPr>
                <w:rFonts w:cs="Arial"/>
                <w:sz w:val="20"/>
                <w:szCs w:val="20"/>
              </w:rPr>
            </w:pPr>
            <w:r w:rsidRPr="008E7E07">
              <w:rPr>
                <w:rFonts w:cs="Arial"/>
                <w:sz w:val="20"/>
                <w:szCs w:val="20"/>
              </w:rPr>
              <w:t>“</w:t>
            </w:r>
            <w:r w:rsidRPr="008E7E07">
              <w:rPr>
                <w:rFonts w:cs="Arial"/>
                <w:b/>
                <w:sz w:val="20"/>
                <w:szCs w:val="20"/>
              </w:rPr>
              <w:t>Art. 32</w:t>
            </w:r>
            <w:proofErr w:type="gramStart"/>
            <w:r w:rsidRPr="008E7E07">
              <w:rPr>
                <w:rFonts w:cs="Arial"/>
                <w:b/>
                <w:sz w:val="20"/>
                <w:szCs w:val="20"/>
              </w:rPr>
              <w:t xml:space="preserve">. </w:t>
            </w:r>
            <w:r w:rsidRPr="008E7E07">
              <w:rPr>
                <w:rFonts w:cs="Arial"/>
                <w:sz w:val="20"/>
                <w:szCs w:val="20"/>
              </w:rPr>
              <w:t>...</w:t>
            </w:r>
            <w:proofErr w:type="gramEnd"/>
            <w:r w:rsidRPr="008E7E07">
              <w:rPr>
                <w:rFonts w:cs="Arial"/>
                <w:sz w:val="20"/>
                <w:szCs w:val="20"/>
              </w:rPr>
              <w:t>......................................................... .............................................</w:t>
            </w:r>
            <w:r w:rsidR="003433B7">
              <w:rPr>
                <w:rFonts w:cs="Arial"/>
                <w:sz w:val="20"/>
                <w:szCs w:val="20"/>
              </w:rPr>
              <w:t>.....</w:t>
            </w:r>
          </w:p>
          <w:p w:rsidR="004F1720" w:rsidRPr="008E7E07" w:rsidRDefault="004F1720" w:rsidP="003433B7">
            <w:pPr>
              <w:ind w:left="1701"/>
              <w:jc w:val="both"/>
              <w:rPr>
                <w:rFonts w:cs="Arial"/>
                <w:sz w:val="20"/>
                <w:szCs w:val="20"/>
              </w:rPr>
            </w:pPr>
            <w:r w:rsidRPr="008E7E07">
              <w:rPr>
                <w:rFonts w:cs="Arial"/>
                <w:sz w:val="20"/>
                <w:szCs w:val="20"/>
              </w:rPr>
              <w:t xml:space="preserve">V – exercer de forma abusiva competência para regular ou editar atos normativos </w:t>
            </w:r>
            <w:proofErr w:type="spellStart"/>
            <w:r w:rsidRPr="008E7E07">
              <w:rPr>
                <w:rFonts w:cs="Arial"/>
                <w:sz w:val="20"/>
                <w:szCs w:val="20"/>
              </w:rPr>
              <w:t>infralegais</w:t>
            </w:r>
            <w:proofErr w:type="spellEnd"/>
            <w:r w:rsidRPr="008E7E07">
              <w:rPr>
                <w:rFonts w:cs="Arial"/>
                <w:sz w:val="20"/>
                <w:szCs w:val="20"/>
              </w:rPr>
              <w:t>.</w:t>
            </w:r>
          </w:p>
          <w:p w:rsidR="004F1720" w:rsidRPr="008E7E07" w:rsidRDefault="004F1720" w:rsidP="003433B7">
            <w:pPr>
              <w:ind w:left="1701"/>
              <w:jc w:val="both"/>
              <w:rPr>
                <w:rFonts w:cs="Arial"/>
                <w:sz w:val="20"/>
                <w:szCs w:val="20"/>
              </w:rPr>
            </w:pPr>
            <w:proofErr w:type="gramStart"/>
            <w:r w:rsidRPr="008E7E07">
              <w:rPr>
                <w:rFonts w:cs="Arial"/>
                <w:sz w:val="20"/>
                <w:szCs w:val="20"/>
              </w:rPr>
              <w:t>............................................................</w:t>
            </w:r>
            <w:proofErr w:type="gramEnd"/>
          </w:p>
          <w:p w:rsidR="004F1720" w:rsidRPr="008E7E07" w:rsidRDefault="004F1720" w:rsidP="003433B7">
            <w:pPr>
              <w:ind w:left="1701"/>
              <w:jc w:val="both"/>
              <w:rPr>
                <w:rFonts w:cs="Arial"/>
                <w:sz w:val="20"/>
                <w:szCs w:val="20"/>
              </w:rPr>
            </w:pPr>
            <w:r w:rsidRPr="008E7E07">
              <w:rPr>
                <w:rFonts w:cs="Arial"/>
                <w:sz w:val="20"/>
                <w:szCs w:val="20"/>
              </w:rPr>
              <w:t xml:space="preserve">§ </w:t>
            </w:r>
            <w:proofErr w:type="gramStart"/>
            <w:r w:rsidRPr="008E7E07">
              <w:rPr>
                <w:rFonts w:cs="Arial"/>
                <w:sz w:val="20"/>
                <w:szCs w:val="20"/>
              </w:rPr>
              <w:t>3º ...</w:t>
            </w:r>
            <w:proofErr w:type="gramEnd"/>
            <w:r w:rsidRPr="008E7E07">
              <w:rPr>
                <w:rFonts w:cs="Arial"/>
                <w:sz w:val="20"/>
                <w:szCs w:val="20"/>
              </w:rPr>
              <w:t xml:space="preserve">....................................................................... </w:t>
            </w:r>
            <w:proofErr w:type="gramStart"/>
            <w:r w:rsidRPr="008E7E07">
              <w:rPr>
                <w:rFonts w:cs="Arial"/>
                <w:sz w:val="20"/>
                <w:szCs w:val="20"/>
              </w:rPr>
              <w:t>........................</w:t>
            </w:r>
            <w:proofErr w:type="gramEnd"/>
          </w:p>
          <w:p w:rsidR="004F1720" w:rsidRPr="008E7E07" w:rsidRDefault="004F1720" w:rsidP="003433B7">
            <w:pPr>
              <w:ind w:left="1701"/>
              <w:jc w:val="both"/>
              <w:rPr>
                <w:rFonts w:cs="Arial"/>
                <w:sz w:val="20"/>
                <w:szCs w:val="20"/>
              </w:rPr>
            </w:pPr>
            <w:r w:rsidRPr="008E7E07">
              <w:rPr>
                <w:rFonts w:cs="Arial"/>
                <w:sz w:val="20"/>
                <w:szCs w:val="20"/>
              </w:rPr>
              <w:t xml:space="preserve">XX - editar ato normativo </w:t>
            </w:r>
            <w:proofErr w:type="spellStart"/>
            <w:r w:rsidRPr="008E7E07">
              <w:rPr>
                <w:rFonts w:cs="Arial"/>
                <w:sz w:val="20"/>
                <w:szCs w:val="20"/>
              </w:rPr>
              <w:t>infralegal</w:t>
            </w:r>
            <w:proofErr w:type="spellEnd"/>
            <w:r w:rsidRPr="008E7E07">
              <w:rPr>
                <w:rFonts w:cs="Arial"/>
                <w:sz w:val="20"/>
                <w:szCs w:val="20"/>
              </w:rPr>
              <w:t xml:space="preserve"> que, de forma injustificada, crie barreiras à entrada no mercado ou distorça ou de qualquer forma elimine a concorrência.</w:t>
            </w:r>
          </w:p>
          <w:p w:rsidR="004F1720" w:rsidRPr="008E7E07" w:rsidRDefault="004F1720" w:rsidP="003433B7">
            <w:pPr>
              <w:ind w:left="1701"/>
              <w:jc w:val="both"/>
              <w:rPr>
                <w:rFonts w:cs="Arial"/>
                <w:sz w:val="20"/>
                <w:szCs w:val="20"/>
              </w:rPr>
            </w:pPr>
            <w:r w:rsidRPr="008E7E07">
              <w:rPr>
                <w:rFonts w:cs="Arial"/>
                <w:sz w:val="20"/>
                <w:szCs w:val="20"/>
              </w:rPr>
              <w:t xml:space="preserve">§ 4º Identificada </w:t>
            </w:r>
            <w:proofErr w:type="gramStart"/>
            <w:r w:rsidRPr="008E7E07">
              <w:rPr>
                <w:rFonts w:cs="Arial"/>
                <w:sz w:val="20"/>
                <w:szCs w:val="20"/>
              </w:rPr>
              <w:t>a</w:t>
            </w:r>
            <w:proofErr w:type="gramEnd"/>
            <w:r w:rsidRPr="008E7E07">
              <w:rPr>
                <w:rFonts w:cs="Arial"/>
                <w:sz w:val="20"/>
                <w:szCs w:val="20"/>
              </w:rPr>
              <w:t xml:space="preserve"> infração contida no inciso XX do § 3º, o CADE adotará as </w:t>
            </w:r>
            <w:r w:rsidRPr="008E7E07">
              <w:rPr>
                <w:rFonts w:cs="Arial"/>
                <w:sz w:val="20"/>
                <w:szCs w:val="20"/>
              </w:rPr>
              <w:lastRenderedPageBreak/>
              <w:t>medidas administrativas para, imediatamente, notificar a autoridade administrativa responsável pela edição do ato normativo para suspender seus efeitos ou revoga-lo.</w:t>
            </w:r>
          </w:p>
          <w:p w:rsidR="004F1720" w:rsidRPr="008E7E07" w:rsidRDefault="004F1720" w:rsidP="003433B7">
            <w:pPr>
              <w:ind w:left="1701"/>
              <w:jc w:val="both"/>
              <w:rPr>
                <w:rFonts w:cs="Arial"/>
                <w:sz w:val="20"/>
                <w:szCs w:val="20"/>
              </w:rPr>
            </w:pPr>
            <w:r w:rsidRPr="008E7E07">
              <w:rPr>
                <w:rFonts w:cs="Arial"/>
                <w:sz w:val="20"/>
                <w:szCs w:val="20"/>
              </w:rPr>
              <w:t>§ 5º Para os fins do § 4º, na hipótese de inércia ou negativa de suspensão de eficácia ou revogação, o CADE adotará as medidas judiciais cabíveis para suspender os efeitos e anular o ato normativo reconhecido como prejudicial à livre concorrência.”</w:t>
            </w:r>
            <w:proofErr w:type="gramStart"/>
            <w:r w:rsidRPr="008E7E07">
              <w:rPr>
                <w:rFonts w:cs="Arial"/>
                <w:sz w:val="20"/>
                <w:szCs w:val="20"/>
              </w:rPr>
              <w:t xml:space="preserve">  </w:t>
            </w:r>
            <w:proofErr w:type="gramEnd"/>
            <w:r w:rsidRPr="008E7E07">
              <w:rPr>
                <w:rFonts w:cs="Arial"/>
                <w:sz w:val="20"/>
                <w:szCs w:val="20"/>
              </w:rPr>
              <w:t>(NR)</w:t>
            </w:r>
          </w:p>
          <w:p w:rsidR="0060555F" w:rsidRPr="008E7E07" w:rsidRDefault="0060555F" w:rsidP="008E7E07">
            <w:pPr>
              <w:jc w:val="both"/>
              <w:rPr>
                <w:sz w:val="20"/>
                <w:szCs w:val="20"/>
              </w:rPr>
            </w:pPr>
          </w:p>
        </w:tc>
        <w:tc>
          <w:tcPr>
            <w:tcW w:w="5501" w:type="dxa"/>
          </w:tcPr>
          <w:p w:rsidR="0060555F" w:rsidRPr="008E7E07" w:rsidRDefault="004F1720" w:rsidP="008E7E07">
            <w:pPr>
              <w:jc w:val="both"/>
              <w:rPr>
                <w:sz w:val="20"/>
                <w:szCs w:val="20"/>
              </w:rPr>
            </w:pPr>
            <w:r w:rsidRPr="008E7E07">
              <w:rPr>
                <w:sz w:val="20"/>
                <w:szCs w:val="20"/>
              </w:rPr>
              <w:lastRenderedPageBreak/>
              <w:t xml:space="preserve">- Constitui infração da ordem econômica o exercício abusivo da competência para regular ou editar atos normativos </w:t>
            </w:r>
            <w:proofErr w:type="spellStart"/>
            <w:r w:rsidRPr="008E7E07">
              <w:rPr>
                <w:sz w:val="20"/>
                <w:szCs w:val="20"/>
              </w:rPr>
              <w:t>infralegais</w:t>
            </w:r>
            <w:proofErr w:type="spellEnd"/>
            <w:r w:rsidRPr="008E7E07">
              <w:rPr>
                <w:sz w:val="20"/>
                <w:szCs w:val="20"/>
              </w:rPr>
              <w:t xml:space="preserve"> que crie barreiras à entrada no mercado ou elimine a concorrência</w:t>
            </w:r>
            <w:r w:rsidR="00407361" w:rsidRPr="008E7E07">
              <w:rPr>
                <w:sz w:val="20"/>
                <w:szCs w:val="20"/>
              </w:rPr>
              <w:t>;</w:t>
            </w:r>
          </w:p>
        </w:tc>
      </w:tr>
      <w:tr w:rsidR="0060555F" w:rsidTr="008E7E07">
        <w:tc>
          <w:tcPr>
            <w:tcW w:w="8719" w:type="dxa"/>
          </w:tcPr>
          <w:p w:rsidR="00407361" w:rsidRPr="008E7E07" w:rsidRDefault="00407361" w:rsidP="008E7E07">
            <w:pPr>
              <w:ind w:left="90"/>
              <w:jc w:val="both"/>
              <w:rPr>
                <w:rFonts w:cs="Arial"/>
                <w:sz w:val="20"/>
                <w:szCs w:val="20"/>
              </w:rPr>
            </w:pPr>
            <w:r w:rsidRPr="008E7E07">
              <w:rPr>
                <w:rFonts w:cs="Arial"/>
                <w:sz w:val="20"/>
                <w:szCs w:val="20"/>
              </w:rPr>
              <w:lastRenderedPageBreak/>
              <w:t xml:space="preserve">A Lei nº 7.291, 19 de dezembro de 1984, passa a vigorar com as seguintes alterações: </w:t>
            </w:r>
          </w:p>
          <w:p w:rsidR="003433B7" w:rsidRDefault="003433B7" w:rsidP="008E7E07">
            <w:pPr>
              <w:ind w:left="1620" w:firstLine="1620"/>
              <w:jc w:val="both"/>
              <w:rPr>
                <w:rFonts w:cs="Arial"/>
                <w:sz w:val="20"/>
                <w:szCs w:val="20"/>
              </w:rPr>
            </w:pPr>
          </w:p>
          <w:p w:rsidR="00407361" w:rsidRPr="008E7E07" w:rsidRDefault="00407361" w:rsidP="003433B7">
            <w:pPr>
              <w:ind w:left="1620" w:firstLine="81"/>
              <w:jc w:val="both"/>
              <w:rPr>
                <w:rFonts w:cs="Arial"/>
                <w:sz w:val="20"/>
                <w:szCs w:val="20"/>
              </w:rPr>
            </w:pPr>
            <w:r w:rsidRPr="008E7E07">
              <w:rPr>
                <w:rFonts w:cs="Arial"/>
                <w:sz w:val="20"/>
                <w:szCs w:val="20"/>
              </w:rPr>
              <w:t>“</w:t>
            </w:r>
            <w:r w:rsidRPr="008E7E07">
              <w:rPr>
                <w:rFonts w:cs="Arial"/>
                <w:b/>
                <w:bCs/>
                <w:sz w:val="20"/>
                <w:szCs w:val="20"/>
              </w:rPr>
              <w:t>Art. 14</w:t>
            </w:r>
            <w:r w:rsidRPr="008E7E07">
              <w:rPr>
                <w:rFonts w:cs="Arial"/>
                <w:sz w:val="20"/>
                <w:szCs w:val="20"/>
              </w:rPr>
              <w:t>. As entidades promotoras de corridas de cavalos com exploração de apostas poderão ser autorizadas pelo Ministério da Economia a extrair sweepstakes e outras modalidades de loteria, vinculadas ou não ao resultado de corridas de cavalo, satisfeitas as exigências estipuladas pela Secretaria Especial da Receita Federal quanto aos Planos de Sorteios.” (NR</w:t>
            </w:r>
            <w:proofErr w:type="gramStart"/>
            <w:r w:rsidRPr="008E7E07">
              <w:rPr>
                <w:rFonts w:cs="Arial"/>
                <w:sz w:val="20"/>
                <w:szCs w:val="20"/>
              </w:rPr>
              <w:t>)</w:t>
            </w:r>
            <w:proofErr w:type="gramEnd"/>
          </w:p>
          <w:p w:rsidR="0060555F" w:rsidRPr="008E7E07" w:rsidRDefault="0060555F" w:rsidP="008E7E07">
            <w:pPr>
              <w:jc w:val="both"/>
              <w:rPr>
                <w:sz w:val="20"/>
                <w:szCs w:val="20"/>
              </w:rPr>
            </w:pPr>
          </w:p>
        </w:tc>
        <w:tc>
          <w:tcPr>
            <w:tcW w:w="5501" w:type="dxa"/>
          </w:tcPr>
          <w:p w:rsidR="0060555F" w:rsidRPr="008E7E07" w:rsidRDefault="00407361" w:rsidP="008E7E07">
            <w:pPr>
              <w:jc w:val="both"/>
              <w:rPr>
                <w:sz w:val="20"/>
                <w:szCs w:val="20"/>
              </w:rPr>
            </w:pPr>
            <w:r w:rsidRPr="008E7E07">
              <w:rPr>
                <w:sz w:val="20"/>
                <w:szCs w:val="20"/>
              </w:rPr>
              <w:t xml:space="preserve">- Promotoras de corridas de cavalos </w:t>
            </w:r>
            <w:r w:rsidRPr="008E7E07">
              <w:rPr>
                <w:rFonts w:cs="Arial"/>
                <w:sz w:val="20"/>
                <w:szCs w:val="20"/>
              </w:rPr>
              <w:t>com exploração de apostas poderão ser autorizadas pelo Ministério da Economia a extrair sweepstakes e outras modalidades de loteria</w:t>
            </w:r>
            <w:r w:rsidRPr="008E7E07">
              <w:rPr>
                <w:rFonts w:cs="Arial"/>
                <w:sz w:val="20"/>
                <w:szCs w:val="20"/>
              </w:rPr>
              <w:t>;</w:t>
            </w:r>
          </w:p>
        </w:tc>
      </w:tr>
      <w:tr w:rsidR="0060555F" w:rsidTr="008E7E07">
        <w:tc>
          <w:tcPr>
            <w:tcW w:w="8719" w:type="dxa"/>
          </w:tcPr>
          <w:p w:rsidR="008E7E07" w:rsidRDefault="008E7E07" w:rsidP="008E7E07">
            <w:pPr>
              <w:jc w:val="both"/>
              <w:rPr>
                <w:rFonts w:cs="Arial"/>
                <w:sz w:val="20"/>
                <w:szCs w:val="20"/>
              </w:rPr>
            </w:pPr>
            <w:r w:rsidRPr="008E7E07">
              <w:rPr>
                <w:rFonts w:cs="Arial"/>
                <w:sz w:val="20"/>
                <w:szCs w:val="20"/>
              </w:rPr>
              <w:t>A Lei nº 10.522, de 19 de julho de 2002, passam a vigorar com as seguintes alterações:</w:t>
            </w:r>
          </w:p>
          <w:p w:rsidR="003433B7" w:rsidRPr="008E7E07" w:rsidRDefault="003433B7" w:rsidP="008E7E07">
            <w:pPr>
              <w:jc w:val="both"/>
              <w:rPr>
                <w:rFonts w:cs="Arial"/>
                <w:sz w:val="20"/>
                <w:szCs w:val="20"/>
              </w:rPr>
            </w:pPr>
          </w:p>
          <w:p w:rsidR="008E7E07" w:rsidRPr="008E7E07" w:rsidRDefault="008E7E07" w:rsidP="003433B7">
            <w:pPr>
              <w:ind w:left="1701"/>
              <w:jc w:val="both"/>
              <w:rPr>
                <w:rFonts w:cs="Arial"/>
                <w:sz w:val="20"/>
                <w:szCs w:val="20"/>
              </w:rPr>
            </w:pPr>
            <w:r w:rsidRPr="008E7E07">
              <w:rPr>
                <w:rFonts w:cs="Arial"/>
                <w:sz w:val="20"/>
                <w:szCs w:val="20"/>
              </w:rPr>
              <w:t>“</w:t>
            </w:r>
            <w:r w:rsidRPr="008E7E07">
              <w:rPr>
                <w:rFonts w:cs="Arial"/>
                <w:b/>
                <w:sz w:val="20"/>
                <w:szCs w:val="20"/>
              </w:rPr>
              <w:t xml:space="preserve">Art. 20-F. </w:t>
            </w:r>
            <w:r w:rsidRPr="008E7E07">
              <w:rPr>
                <w:rFonts w:cs="Arial"/>
                <w:sz w:val="20"/>
                <w:szCs w:val="20"/>
              </w:rPr>
              <w:t xml:space="preserve">Para os fins do art. 199 da Lei nº 5.172, de 25 de outubro de 1966, a administração tributária federal compartilhará, de forma recíproca, nos termos de ato normativo do Ministro da Economia informações sobre a situação econômica ou financeira do sujeito passivo do tributo ou de terceiros e sobre a natureza e o estado de seus negócios ou atividades, de forma a garantir a consulta plena às suas bases de </w:t>
            </w:r>
            <w:proofErr w:type="gramStart"/>
            <w:r w:rsidRPr="008E7E07">
              <w:rPr>
                <w:rFonts w:cs="Arial"/>
                <w:sz w:val="20"/>
                <w:szCs w:val="20"/>
              </w:rPr>
              <w:t>dados, incluídas</w:t>
            </w:r>
            <w:proofErr w:type="gramEnd"/>
            <w:r w:rsidRPr="008E7E07">
              <w:rPr>
                <w:rFonts w:cs="Arial"/>
                <w:sz w:val="20"/>
                <w:szCs w:val="20"/>
              </w:rPr>
              <w:t xml:space="preserve"> as informações relativas a:</w:t>
            </w:r>
          </w:p>
          <w:p w:rsidR="008E7E07" w:rsidRPr="008E7E07" w:rsidRDefault="008E7E07" w:rsidP="003433B7">
            <w:pPr>
              <w:ind w:left="1701"/>
              <w:jc w:val="both"/>
              <w:rPr>
                <w:rFonts w:cs="Arial"/>
                <w:sz w:val="20"/>
                <w:szCs w:val="20"/>
              </w:rPr>
            </w:pPr>
            <w:r w:rsidRPr="008E7E07">
              <w:rPr>
                <w:rFonts w:cs="Arial"/>
                <w:sz w:val="20"/>
                <w:szCs w:val="20"/>
              </w:rPr>
              <w:t xml:space="preserve">I – rendas, rendimentos, patrimônio; </w:t>
            </w:r>
            <w:proofErr w:type="gramStart"/>
            <w:r w:rsidRPr="008E7E07">
              <w:rPr>
                <w:rFonts w:cs="Arial"/>
                <w:sz w:val="20"/>
                <w:szCs w:val="20"/>
              </w:rPr>
              <w:t>e</w:t>
            </w:r>
            <w:proofErr w:type="gramEnd"/>
          </w:p>
          <w:p w:rsidR="008E7E07" w:rsidRPr="008E7E07" w:rsidRDefault="008E7E07" w:rsidP="003433B7">
            <w:pPr>
              <w:ind w:left="1701"/>
              <w:jc w:val="both"/>
              <w:rPr>
                <w:rFonts w:cs="Arial"/>
                <w:sz w:val="20"/>
                <w:szCs w:val="20"/>
              </w:rPr>
            </w:pPr>
            <w:r w:rsidRPr="008E7E07">
              <w:rPr>
                <w:rFonts w:cs="Arial"/>
                <w:sz w:val="20"/>
                <w:szCs w:val="20"/>
              </w:rPr>
              <w:t>II – débitos, créditos, dívidas e movimentação financeira ou patrimonial.</w:t>
            </w:r>
          </w:p>
          <w:p w:rsidR="008E7E07" w:rsidRPr="008E7E07" w:rsidRDefault="008E7E07" w:rsidP="003433B7">
            <w:pPr>
              <w:ind w:left="1701"/>
              <w:jc w:val="both"/>
              <w:rPr>
                <w:rFonts w:cs="Arial"/>
                <w:sz w:val="20"/>
                <w:szCs w:val="20"/>
              </w:rPr>
            </w:pPr>
            <w:r w:rsidRPr="008E7E07">
              <w:rPr>
                <w:rFonts w:cs="Arial"/>
                <w:sz w:val="20"/>
                <w:szCs w:val="20"/>
              </w:rPr>
              <w:t>§ 1º Os dados objeto de transferência do sigilo serão utilizados, exclusivamente, nas atividades que decorram do exercício das atribuições legais da administração tributária, para fins de escrituração de obrigações fiscais, previdenciárias ou trabalhistas e arrecadação, fiscalização e cobrança de tributos, inclusive aduaneiros.</w:t>
            </w:r>
          </w:p>
          <w:p w:rsidR="008E7E07" w:rsidRPr="008E7E07" w:rsidRDefault="008E7E07" w:rsidP="003433B7">
            <w:pPr>
              <w:ind w:left="1701"/>
              <w:jc w:val="both"/>
              <w:rPr>
                <w:rFonts w:cs="Arial"/>
                <w:sz w:val="20"/>
                <w:szCs w:val="20"/>
              </w:rPr>
            </w:pPr>
            <w:r w:rsidRPr="008E7E07">
              <w:rPr>
                <w:rFonts w:cs="Arial"/>
                <w:sz w:val="20"/>
                <w:szCs w:val="20"/>
              </w:rPr>
              <w:t>§ 2º A transferência do sigilo exime de responsabilidade o concedente, cabendo ao receptor zelar pela preservação, rastreabilidade dos dados, vedando acesso por terceiros que não se enquadrem no disposto no caput.</w:t>
            </w:r>
          </w:p>
          <w:p w:rsidR="008E7E07" w:rsidRPr="008E7E07" w:rsidRDefault="008E7E07" w:rsidP="003433B7">
            <w:pPr>
              <w:ind w:left="1701"/>
              <w:jc w:val="both"/>
              <w:rPr>
                <w:rFonts w:cs="Arial"/>
                <w:sz w:val="20"/>
                <w:szCs w:val="20"/>
              </w:rPr>
            </w:pPr>
            <w:r w:rsidRPr="008E7E07">
              <w:rPr>
                <w:rFonts w:cs="Arial"/>
                <w:sz w:val="20"/>
                <w:szCs w:val="20"/>
              </w:rPr>
              <w:lastRenderedPageBreak/>
              <w:t xml:space="preserve">§ 3º A negativa, descumprimento ou inobservância do dever de compartilhamento de base ou informação e transferência do sigilo entre os órgãos da administração tributária sujeita o infrator às penalidades da Lei nº 8.429, de </w:t>
            </w:r>
            <w:proofErr w:type="gramStart"/>
            <w:r w:rsidRPr="008E7E07">
              <w:rPr>
                <w:rFonts w:cs="Arial"/>
                <w:sz w:val="20"/>
                <w:szCs w:val="20"/>
              </w:rPr>
              <w:t>2</w:t>
            </w:r>
            <w:proofErr w:type="gramEnd"/>
            <w:r w:rsidRPr="008E7E07">
              <w:rPr>
                <w:rFonts w:cs="Arial"/>
                <w:sz w:val="20"/>
                <w:szCs w:val="20"/>
              </w:rPr>
              <w:t xml:space="preserve"> de julho de 1992, sem prejuízo das demais sanções cabíveis</w:t>
            </w:r>
          </w:p>
          <w:p w:rsidR="008E7E07" w:rsidRPr="008E7E07" w:rsidRDefault="008E7E07" w:rsidP="003433B7">
            <w:pPr>
              <w:ind w:left="1701"/>
              <w:jc w:val="both"/>
              <w:rPr>
                <w:rFonts w:cs="Arial"/>
                <w:sz w:val="20"/>
                <w:szCs w:val="20"/>
              </w:rPr>
            </w:pPr>
            <w:r w:rsidRPr="008E7E07">
              <w:rPr>
                <w:rFonts w:cs="Arial"/>
                <w:sz w:val="20"/>
                <w:szCs w:val="20"/>
              </w:rPr>
              <w:t>§ 4º O disposto nesse artigo aplica-se à atuação Procuradoria-Geral Federal na cobrança extrajudicial e judicial de crédito inscrito em dívida ativa das autarquias e fundações públicas federais de natureza fiscal e dos créditos de que trata o inc. II do § 3º do art. 16 da Lei n º 11.457, de 16 de março de 2007.” (AC</w:t>
            </w:r>
            <w:proofErr w:type="gramStart"/>
            <w:r w:rsidRPr="008E7E07">
              <w:rPr>
                <w:rFonts w:cs="Arial"/>
                <w:sz w:val="20"/>
                <w:szCs w:val="20"/>
              </w:rPr>
              <w:t>)</w:t>
            </w:r>
            <w:proofErr w:type="gramEnd"/>
          </w:p>
          <w:p w:rsidR="0060555F" w:rsidRPr="008E7E07" w:rsidRDefault="0060555F" w:rsidP="008E7E07">
            <w:pPr>
              <w:jc w:val="both"/>
              <w:rPr>
                <w:sz w:val="20"/>
                <w:szCs w:val="20"/>
              </w:rPr>
            </w:pPr>
          </w:p>
        </w:tc>
        <w:tc>
          <w:tcPr>
            <w:tcW w:w="5501" w:type="dxa"/>
          </w:tcPr>
          <w:p w:rsidR="0060555F" w:rsidRPr="008E7E07" w:rsidRDefault="008E7E07" w:rsidP="008E7E07">
            <w:pPr>
              <w:jc w:val="both"/>
              <w:rPr>
                <w:sz w:val="20"/>
                <w:szCs w:val="20"/>
              </w:rPr>
            </w:pPr>
            <w:r w:rsidRPr="008E7E07">
              <w:rPr>
                <w:sz w:val="20"/>
                <w:szCs w:val="20"/>
              </w:rPr>
              <w:lastRenderedPageBreak/>
              <w:t xml:space="preserve">- Compartilhamento recíproco pela administração tributária federal das </w:t>
            </w:r>
            <w:r w:rsidRPr="008E7E07">
              <w:rPr>
                <w:rFonts w:cs="Arial"/>
                <w:sz w:val="20"/>
                <w:szCs w:val="20"/>
              </w:rPr>
              <w:t>informações sobre a situação econômica ou financeira do sujeito passivo do tributo ou de terceiros e sobre a natureza e o estado de seus negócios ou atividades, de forma a garantir a consulta plena às suas bases de dados</w:t>
            </w:r>
            <w:r w:rsidRPr="008E7E07">
              <w:rPr>
                <w:rFonts w:cs="Arial"/>
                <w:sz w:val="20"/>
                <w:szCs w:val="20"/>
              </w:rPr>
              <w:t>;</w:t>
            </w:r>
          </w:p>
        </w:tc>
      </w:tr>
      <w:tr w:rsidR="0060555F" w:rsidTr="008E7E07">
        <w:tc>
          <w:tcPr>
            <w:tcW w:w="8719" w:type="dxa"/>
          </w:tcPr>
          <w:p w:rsidR="008E7E07" w:rsidRPr="008E7E07" w:rsidRDefault="008E7E07" w:rsidP="003433B7">
            <w:pPr>
              <w:ind w:left="1701" w:firstLine="9"/>
              <w:jc w:val="both"/>
              <w:rPr>
                <w:rFonts w:cs="Arial"/>
                <w:sz w:val="20"/>
                <w:szCs w:val="20"/>
              </w:rPr>
            </w:pPr>
            <w:r w:rsidRPr="008E7E07">
              <w:rPr>
                <w:rFonts w:cs="Arial"/>
                <w:b/>
                <w:bCs/>
                <w:sz w:val="20"/>
                <w:szCs w:val="20"/>
              </w:rPr>
              <w:lastRenderedPageBreak/>
              <w:t>Art. 40.</w:t>
            </w:r>
            <w:r w:rsidRPr="008E7E07">
              <w:rPr>
                <w:rFonts w:cs="Arial"/>
                <w:bCs/>
                <w:sz w:val="20"/>
                <w:szCs w:val="20"/>
              </w:rPr>
              <w:t xml:space="preserve"> A fim de garantir e resguardar os efeitos desejados sobre as disposições desta Lei</w:t>
            </w:r>
            <w:proofErr w:type="gramStart"/>
            <w:r w:rsidRPr="008E7E07">
              <w:rPr>
                <w:rFonts w:cs="Arial"/>
                <w:bCs/>
                <w:sz w:val="20"/>
                <w:szCs w:val="20"/>
              </w:rPr>
              <w:t>, fica</w:t>
            </w:r>
            <w:proofErr w:type="gramEnd"/>
            <w:r w:rsidRPr="008E7E07">
              <w:rPr>
                <w:rFonts w:cs="Arial"/>
                <w:bCs/>
                <w:sz w:val="20"/>
                <w:szCs w:val="20"/>
              </w:rPr>
              <w:t xml:space="preserve"> instituído </w:t>
            </w:r>
            <w:r w:rsidRPr="008E7E07">
              <w:rPr>
                <w:rFonts w:cs="Arial"/>
                <w:sz w:val="20"/>
                <w:szCs w:val="20"/>
              </w:rPr>
              <w:t xml:space="preserve">o Observatório Nacional de Liberdade Econômica, na forma do regulamento. </w:t>
            </w:r>
          </w:p>
          <w:p w:rsidR="008E7E07" w:rsidRPr="008E7E07" w:rsidRDefault="008E7E07" w:rsidP="003433B7">
            <w:pPr>
              <w:ind w:left="1701" w:firstLine="9"/>
              <w:jc w:val="both"/>
              <w:rPr>
                <w:rFonts w:cs="Arial"/>
                <w:sz w:val="20"/>
                <w:szCs w:val="20"/>
              </w:rPr>
            </w:pPr>
            <w:r w:rsidRPr="008E7E07">
              <w:rPr>
                <w:rFonts w:cs="Arial"/>
                <w:sz w:val="20"/>
                <w:szCs w:val="20"/>
              </w:rPr>
              <w:t>§1º Compete ao Observatório:</w:t>
            </w:r>
          </w:p>
          <w:p w:rsidR="008E7E07" w:rsidRPr="008E7E07" w:rsidRDefault="008E7E07" w:rsidP="003433B7">
            <w:pPr>
              <w:ind w:left="1701" w:firstLine="9"/>
              <w:jc w:val="both"/>
              <w:rPr>
                <w:rFonts w:cs="Arial"/>
                <w:sz w:val="20"/>
                <w:szCs w:val="20"/>
              </w:rPr>
            </w:pPr>
            <w:r w:rsidRPr="008E7E07">
              <w:rPr>
                <w:rFonts w:cs="Arial"/>
                <w:sz w:val="20"/>
                <w:szCs w:val="20"/>
              </w:rPr>
              <w:t>I – Desenvolver ranking nacional de entes federados em desempenho ou boas práticas de liberdade econômica;</w:t>
            </w:r>
          </w:p>
          <w:p w:rsidR="008E7E07" w:rsidRPr="008E7E07" w:rsidRDefault="008E7E07" w:rsidP="003433B7">
            <w:pPr>
              <w:ind w:left="1701" w:firstLine="9"/>
              <w:jc w:val="both"/>
              <w:rPr>
                <w:rFonts w:cs="Arial"/>
                <w:sz w:val="20"/>
                <w:szCs w:val="20"/>
              </w:rPr>
            </w:pPr>
            <w:r w:rsidRPr="008E7E07">
              <w:rPr>
                <w:rFonts w:cs="Arial"/>
                <w:sz w:val="20"/>
                <w:szCs w:val="20"/>
              </w:rPr>
              <w:t xml:space="preserve">II – Promover eventos para divulgação e promoção das melhores práticas que contribuam para </w:t>
            </w:r>
            <w:proofErr w:type="gramStart"/>
            <w:r w:rsidRPr="008E7E07">
              <w:rPr>
                <w:rFonts w:cs="Arial"/>
                <w:sz w:val="20"/>
                <w:szCs w:val="20"/>
              </w:rPr>
              <w:t>atividades econômica anual para atração de investimentos com os entes com melhores desempenhos na forma do inciso I do §1º</w:t>
            </w:r>
            <w:proofErr w:type="gramEnd"/>
            <w:r w:rsidRPr="008E7E07">
              <w:rPr>
                <w:rFonts w:cs="Arial"/>
                <w:sz w:val="20"/>
                <w:szCs w:val="20"/>
              </w:rPr>
              <w:t>;</w:t>
            </w:r>
          </w:p>
          <w:p w:rsidR="008E7E07" w:rsidRPr="008E7E07" w:rsidRDefault="008E7E07" w:rsidP="003433B7">
            <w:pPr>
              <w:ind w:left="1701" w:firstLine="9"/>
              <w:jc w:val="both"/>
              <w:rPr>
                <w:rFonts w:cs="Arial"/>
                <w:sz w:val="20"/>
                <w:szCs w:val="20"/>
              </w:rPr>
            </w:pPr>
            <w:r w:rsidRPr="008E7E07">
              <w:rPr>
                <w:rFonts w:cs="Arial"/>
                <w:sz w:val="20"/>
                <w:szCs w:val="20"/>
              </w:rPr>
              <w:t xml:space="preserve">III – Estender para as normas </w:t>
            </w:r>
            <w:proofErr w:type="spellStart"/>
            <w:r w:rsidRPr="008E7E07">
              <w:rPr>
                <w:rFonts w:cs="Arial"/>
                <w:sz w:val="20"/>
                <w:szCs w:val="20"/>
              </w:rPr>
              <w:t>infralegais</w:t>
            </w:r>
            <w:proofErr w:type="spellEnd"/>
            <w:r w:rsidRPr="008E7E07">
              <w:rPr>
                <w:rFonts w:cs="Arial"/>
                <w:sz w:val="20"/>
                <w:szCs w:val="20"/>
              </w:rPr>
              <w:t xml:space="preserve"> que versem sobre atividade econômica de Estados, Distrito Federal e Municípios o procedimento referido no art. 16 da Lei Complementar n. 95, de 26 de fevereiro de 1998;</w:t>
            </w:r>
          </w:p>
          <w:p w:rsidR="008E7E07" w:rsidRPr="008E7E07" w:rsidRDefault="008E7E07" w:rsidP="003433B7">
            <w:pPr>
              <w:ind w:left="1701" w:firstLine="9"/>
              <w:jc w:val="both"/>
              <w:rPr>
                <w:rFonts w:cs="Arial"/>
                <w:sz w:val="20"/>
                <w:szCs w:val="20"/>
              </w:rPr>
            </w:pPr>
            <w:r w:rsidRPr="008E7E07">
              <w:rPr>
                <w:rFonts w:cs="Arial"/>
                <w:sz w:val="20"/>
                <w:szCs w:val="20"/>
              </w:rPr>
              <w:t>IV – Estabelecer padrões de restrições para obrigações regulatórias para a atividade econômica no âmbito do direito econômico e urbanístico;</w:t>
            </w:r>
          </w:p>
          <w:p w:rsidR="008E7E07" w:rsidRPr="008E7E07" w:rsidRDefault="008E7E07" w:rsidP="003433B7">
            <w:pPr>
              <w:ind w:left="1701" w:firstLine="9"/>
              <w:jc w:val="both"/>
              <w:rPr>
                <w:rFonts w:cs="Arial"/>
                <w:sz w:val="20"/>
                <w:szCs w:val="20"/>
              </w:rPr>
            </w:pPr>
            <w:r w:rsidRPr="008E7E07">
              <w:rPr>
                <w:rFonts w:cs="Arial"/>
                <w:sz w:val="20"/>
                <w:szCs w:val="20"/>
              </w:rPr>
              <w:t xml:space="preserve">V – Promover feiras e outros eventos de cunhos educacionais sobre a importância do empreendedorismo como instrumento de </w:t>
            </w:r>
            <w:proofErr w:type="spellStart"/>
            <w:r w:rsidRPr="008E7E07">
              <w:rPr>
                <w:rFonts w:cs="Arial"/>
                <w:sz w:val="20"/>
                <w:szCs w:val="20"/>
              </w:rPr>
              <w:t>empoderamento</w:t>
            </w:r>
            <w:proofErr w:type="spellEnd"/>
            <w:r w:rsidRPr="008E7E07">
              <w:rPr>
                <w:rFonts w:cs="Arial"/>
                <w:sz w:val="20"/>
                <w:szCs w:val="20"/>
              </w:rPr>
              <w:t xml:space="preserve"> desde a primeira infância;</w:t>
            </w:r>
          </w:p>
          <w:p w:rsidR="008E7E07" w:rsidRPr="008E7E07" w:rsidRDefault="008E7E07" w:rsidP="003433B7">
            <w:pPr>
              <w:ind w:left="1701" w:firstLine="9"/>
              <w:jc w:val="both"/>
              <w:rPr>
                <w:rFonts w:cs="Arial"/>
                <w:sz w:val="20"/>
                <w:szCs w:val="20"/>
              </w:rPr>
            </w:pPr>
            <w:r w:rsidRPr="008E7E07">
              <w:rPr>
                <w:rFonts w:cs="Arial"/>
                <w:sz w:val="20"/>
                <w:szCs w:val="20"/>
              </w:rPr>
              <w:t>VI – Elaborar modelos de governança participativa com o objetivo de simplificar, desburocratizar e reduzir o tempo e os custos regulatórios das atividades econômicas e produtivas para fortalecer o empreendedorismo, que poderão ser utilizados por todas as esferas de governo;</w:t>
            </w:r>
          </w:p>
          <w:p w:rsidR="008E7E07" w:rsidRPr="008E7E07" w:rsidRDefault="008E7E07" w:rsidP="003433B7">
            <w:pPr>
              <w:ind w:left="1701" w:firstLine="9"/>
              <w:jc w:val="both"/>
              <w:rPr>
                <w:rFonts w:cs="Arial"/>
                <w:sz w:val="20"/>
                <w:szCs w:val="20"/>
              </w:rPr>
            </w:pPr>
            <w:r w:rsidRPr="008E7E07">
              <w:rPr>
                <w:rFonts w:cs="Arial"/>
                <w:sz w:val="20"/>
                <w:szCs w:val="20"/>
              </w:rPr>
              <w:t>VII – Promover eventos de capacitação para os Conselhos de Liberdade Econômica, incluindo cursos presenciais e à distância, redes de aprendizagem seminários e congressos sobre liberdade econômica;</w:t>
            </w:r>
          </w:p>
          <w:p w:rsidR="008E7E07" w:rsidRPr="008E7E07" w:rsidRDefault="008E7E07" w:rsidP="003433B7">
            <w:pPr>
              <w:ind w:left="1701" w:firstLine="9"/>
              <w:jc w:val="both"/>
              <w:rPr>
                <w:rFonts w:cs="Arial"/>
                <w:sz w:val="20"/>
                <w:szCs w:val="20"/>
              </w:rPr>
            </w:pPr>
            <w:r w:rsidRPr="008E7E07">
              <w:rPr>
                <w:rFonts w:cs="Arial"/>
                <w:sz w:val="20"/>
                <w:szCs w:val="20"/>
              </w:rPr>
              <w:t xml:space="preserve">VIII – Desenvolver métricas e indicadores que serão utilizados pelos Conselhos de </w:t>
            </w:r>
            <w:r w:rsidRPr="008E7E07">
              <w:rPr>
                <w:rFonts w:cs="Arial"/>
                <w:sz w:val="20"/>
                <w:szCs w:val="20"/>
              </w:rPr>
              <w:lastRenderedPageBreak/>
              <w:t xml:space="preserve">Liberdade Econômica.  </w:t>
            </w:r>
          </w:p>
          <w:p w:rsidR="008E7E07" w:rsidRPr="008E7E07" w:rsidRDefault="008E7E07" w:rsidP="003433B7">
            <w:pPr>
              <w:ind w:left="1701" w:firstLine="9"/>
              <w:jc w:val="both"/>
              <w:rPr>
                <w:rFonts w:cs="Arial"/>
                <w:sz w:val="20"/>
                <w:szCs w:val="20"/>
              </w:rPr>
            </w:pPr>
            <w:r w:rsidRPr="008E7E07">
              <w:rPr>
                <w:rFonts w:cs="Arial"/>
                <w:sz w:val="20"/>
                <w:szCs w:val="20"/>
              </w:rPr>
              <w:t>§ 2º O Observatório será gerido pelo Comitê Gestor Nacional, composto por:</w:t>
            </w:r>
          </w:p>
          <w:p w:rsidR="008E7E07" w:rsidRPr="008E7E07" w:rsidRDefault="008E7E07" w:rsidP="003433B7">
            <w:pPr>
              <w:ind w:left="1701" w:firstLine="9"/>
              <w:jc w:val="both"/>
              <w:rPr>
                <w:rFonts w:cs="Arial"/>
                <w:sz w:val="20"/>
                <w:szCs w:val="20"/>
              </w:rPr>
            </w:pPr>
            <w:r w:rsidRPr="008E7E07">
              <w:rPr>
                <w:rFonts w:cs="Arial"/>
                <w:sz w:val="20"/>
                <w:szCs w:val="20"/>
              </w:rPr>
              <w:t>I – 2 (dois) membros da Presidência da República;</w:t>
            </w:r>
          </w:p>
          <w:p w:rsidR="008E7E07" w:rsidRPr="008E7E07" w:rsidRDefault="008E7E07" w:rsidP="003433B7">
            <w:pPr>
              <w:ind w:left="1701" w:firstLine="9"/>
              <w:jc w:val="both"/>
              <w:rPr>
                <w:rFonts w:cs="Arial"/>
                <w:sz w:val="20"/>
                <w:szCs w:val="20"/>
              </w:rPr>
            </w:pPr>
            <w:r w:rsidRPr="008E7E07">
              <w:rPr>
                <w:rFonts w:cs="Arial"/>
                <w:sz w:val="20"/>
                <w:szCs w:val="20"/>
              </w:rPr>
              <w:t>II – 2 (dois) membros do Ministério da Economia;</w:t>
            </w:r>
          </w:p>
          <w:p w:rsidR="008E7E07" w:rsidRPr="008E7E07" w:rsidRDefault="008E7E07" w:rsidP="003433B7">
            <w:pPr>
              <w:ind w:left="1701" w:firstLine="9"/>
              <w:jc w:val="both"/>
              <w:rPr>
                <w:rFonts w:cs="Arial"/>
                <w:sz w:val="20"/>
                <w:szCs w:val="20"/>
              </w:rPr>
            </w:pPr>
            <w:r w:rsidRPr="008E7E07">
              <w:rPr>
                <w:rFonts w:cs="Arial"/>
                <w:sz w:val="20"/>
                <w:szCs w:val="20"/>
              </w:rPr>
              <w:t>III – 2 (dois) membros da Câmara dos Deputados;</w:t>
            </w:r>
          </w:p>
          <w:p w:rsidR="008E7E07" w:rsidRPr="008E7E07" w:rsidRDefault="008E7E07" w:rsidP="003433B7">
            <w:pPr>
              <w:ind w:left="1701" w:firstLine="9"/>
              <w:jc w:val="both"/>
              <w:rPr>
                <w:rFonts w:cs="Arial"/>
                <w:sz w:val="20"/>
                <w:szCs w:val="20"/>
              </w:rPr>
            </w:pPr>
            <w:r w:rsidRPr="008E7E07">
              <w:rPr>
                <w:rFonts w:cs="Arial"/>
                <w:sz w:val="20"/>
                <w:szCs w:val="20"/>
              </w:rPr>
              <w:t>IV – 2 (dois) membros do Senado Federal;</w:t>
            </w:r>
          </w:p>
          <w:p w:rsidR="008E7E07" w:rsidRPr="008E7E07" w:rsidRDefault="008E7E07" w:rsidP="003433B7">
            <w:pPr>
              <w:tabs>
                <w:tab w:val="right" w:pos="8503"/>
              </w:tabs>
              <w:ind w:left="1701" w:firstLine="9"/>
              <w:jc w:val="both"/>
              <w:rPr>
                <w:rFonts w:cs="Arial"/>
                <w:sz w:val="20"/>
                <w:szCs w:val="20"/>
              </w:rPr>
            </w:pPr>
            <w:r w:rsidRPr="008E7E07">
              <w:rPr>
                <w:rFonts w:cs="Arial"/>
                <w:sz w:val="20"/>
                <w:szCs w:val="20"/>
              </w:rPr>
              <w:t>V – 1 (um) membro do Tribunal de Contas da União;</w:t>
            </w:r>
            <w:proofErr w:type="gramStart"/>
            <w:r w:rsidRPr="008E7E07">
              <w:rPr>
                <w:rFonts w:cs="Arial"/>
                <w:sz w:val="20"/>
                <w:szCs w:val="20"/>
              </w:rPr>
              <w:tab/>
            </w:r>
            <w:proofErr w:type="gramEnd"/>
          </w:p>
          <w:p w:rsidR="008E7E07" w:rsidRPr="008E7E07" w:rsidRDefault="008E7E07" w:rsidP="003433B7">
            <w:pPr>
              <w:ind w:left="1701" w:firstLine="9"/>
              <w:jc w:val="both"/>
              <w:rPr>
                <w:rFonts w:cs="Arial"/>
                <w:sz w:val="20"/>
                <w:szCs w:val="20"/>
              </w:rPr>
            </w:pPr>
            <w:r w:rsidRPr="008E7E07">
              <w:rPr>
                <w:rFonts w:cs="Arial"/>
                <w:sz w:val="20"/>
                <w:szCs w:val="20"/>
              </w:rPr>
              <w:t>VI – 1 (um) membro do Conselho Nacional de Justiça;</w:t>
            </w:r>
          </w:p>
          <w:p w:rsidR="008E7E07" w:rsidRPr="008E7E07" w:rsidRDefault="008E7E07" w:rsidP="003433B7">
            <w:pPr>
              <w:ind w:left="1701" w:firstLine="9"/>
              <w:jc w:val="both"/>
              <w:rPr>
                <w:rFonts w:cs="Arial"/>
                <w:sz w:val="20"/>
                <w:szCs w:val="20"/>
              </w:rPr>
            </w:pPr>
            <w:r w:rsidRPr="008E7E07">
              <w:rPr>
                <w:rFonts w:cs="Arial"/>
                <w:sz w:val="20"/>
                <w:szCs w:val="20"/>
              </w:rPr>
              <w:t>VII – 2 (dois) membros de entidades representantes dos Municípios;</w:t>
            </w:r>
          </w:p>
          <w:p w:rsidR="008E7E07" w:rsidRPr="008E7E07" w:rsidRDefault="008E7E07" w:rsidP="003433B7">
            <w:pPr>
              <w:ind w:left="1701" w:firstLine="9"/>
              <w:jc w:val="both"/>
              <w:rPr>
                <w:rFonts w:cs="Arial"/>
                <w:sz w:val="20"/>
                <w:szCs w:val="20"/>
              </w:rPr>
            </w:pPr>
            <w:r w:rsidRPr="008E7E07">
              <w:rPr>
                <w:rFonts w:cs="Arial"/>
                <w:sz w:val="20"/>
                <w:szCs w:val="20"/>
              </w:rPr>
              <w:t xml:space="preserve">VIII – 2 (dois) membros de entidades representantes dos Estados e Distrito Federal; </w:t>
            </w:r>
            <w:proofErr w:type="gramStart"/>
            <w:r w:rsidRPr="008E7E07">
              <w:rPr>
                <w:rFonts w:cs="Arial"/>
                <w:sz w:val="20"/>
                <w:szCs w:val="20"/>
              </w:rPr>
              <w:t>e</w:t>
            </w:r>
            <w:proofErr w:type="gramEnd"/>
          </w:p>
          <w:p w:rsidR="008E7E07" w:rsidRPr="008E7E07" w:rsidRDefault="008E7E07" w:rsidP="003433B7">
            <w:pPr>
              <w:ind w:left="1701" w:firstLine="9"/>
              <w:jc w:val="both"/>
              <w:rPr>
                <w:rFonts w:cs="Arial"/>
                <w:sz w:val="20"/>
                <w:szCs w:val="20"/>
              </w:rPr>
            </w:pPr>
            <w:r w:rsidRPr="008E7E07">
              <w:rPr>
                <w:rFonts w:cs="Arial"/>
                <w:sz w:val="20"/>
                <w:szCs w:val="20"/>
              </w:rPr>
              <w:t>IX – 8 (oito) membros de entidades representantes do setor privado.</w:t>
            </w:r>
          </w:p>
          <w:p w:rsidR="008E7E07" w:rsidRPr="008E7E07" w:rsidRDefault="008E7E07" w:rsidP="003433B7">
            <w:pPr>
              <w:ind w:left="1701" w:firstLine="9"/>
              <w:jc w:val="both"/>
              <w:rPr>
                <w:rFonts w:cs="Arial"/>
                <w:sz w:val="20"/>
                <w:szCs w:val="20"/>
              </w:rPr>
            </w:pPr>
            <w:r w:rsidRPr="008E7E07">
              <w:rPr>
                <w:rFonts w:cs="Arial"/>
                <w:sz w:val="20"/>
                <w:szCs w:val="20"/>
              </w:rPr>
              <w:t>§ 3º Chefes do Poder Executivo da União, Estados, Distrito Federal e Municípios encaminharão relatório semestral ao Observatório conforme resolução.</w:t>
            </w:r>
          </w:p>
          <w:p w:rsidR="0060555F" w:rsidRPr="008E7E07" w:rsidRDefault="0060555F" w:rsidP="008E7E07">
            <w:pPr>
              <w:jc w:val="both"/>
              <w:rPr>
                <w:sz w:val="20"/>
                <w:szCs w:val="20"/>
              </w:rPr>
            </w:pPr>
          </w:p>
        </w:tc>
        <w:tc>
          <w:tcPr>
            <w:tcW w:w="5501" w:type="dxa"/>
          </w:tcPr>
          <w:p w:rsidR="0060555F" w:rsidRPr="008E7E07" w:rsidRDefault="008E7E07" w:rsidP="008E7E07">
            <w:pPr>
              <w:jc w:val="both"/>
              <w:rPr>
                <w:rFonts w:cs="Arial"/>
                <w:b/>
                <w:bCs/>
                <w:sz w:val="20"/>
                <w:szCs w:val="20"/>
              </w:rPr>
            </w:pPr>
            <w:r w:rsidRPr="008E7E07">
              <w:rPr>
                <w:sz w:val="20"/>
                <w:szCs w:val="20"/>
              </w:rPr>
              <w:lastRenderedPageBreak/>
              <w:t xml:space="preserve">- </w:t>
            </w:r>
            <w:r w:rsidRPr="008E7E07">
              <w:rPr>
                <w:rFonts w:cs="Arial"/>
                <w:bCs/>
                <w:sz w:val="20"/>
                <w:szCs w:val="20"/>
              </w:rPr>
              <w:t>Nacional de Sistema de Observatório Liberdade Econômica</w:t>
            </w:r>
            <w:r w:rsidRPr="008E7E07">
              <w:rPr>
                <w:rFonts w:cs="Arial"/>
                <w:bCs/>
                <w:sz w:val="20"/>
                <w:szCs w:val="20"/>
              </w:rPr>
              <w:t>;</w:t>
            </w:r>
          </w:p>
        </w:tc>
      </w:tr>
    </w:tbl>
    <w:p w:rsidR="007F1424" w:rsidRDefault="007F1424"/>
    <w:sectPr w:rsidR="007F1424" w:rsidSect="0060555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5F"/>
    <w:rsid w:val="000C1E40"/>
    <w:rsid w:val="00213564"/>
    <w:rsid w:val="003433B7"/>
    <w:rsid w:val="00407361"/>
    <w:rsid w:val="004F1720"/>
    <w:rsid w:val="0060555F"/>
    <w:rsid w:val="0066572A"/>
    <w:rsid w:val="007F1424"/>
    <w:rsid w:val="008E7E07"/>
    <w:rsid w:val="00B55DA2"/>
    <w:rsid w:val="00CC5383"/>
    <w:rsid w:val="00D84E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0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PADRO">
    <w:name w:val="CORPO PADRÃO"/>
    <w:link w:val="CORPOPADROChar"/>
    <w:qFormat/>
    <w:rsid w:val="0060555F"/>
    <w:pPr>
      <w:spacing w:after="120" w:line="360" w:lineRule="auto"/>
      <w:ind w:firstLine="1701"/>
      <w:jc w:val="both"/>
    </w:pPr>
    <w:rPr>
      <w:rFonts w:ascii="Arial" w:eastAsia="Times New Roman" w:hAnsi="Arial" w:cs="Times New Roman"/>
      <w:snapToGrid w:val="0"/>
      <w:color w:val="000000"/>
      <w:sz w:val="24"/>
      <w:szCs w:val="24"/>
    </w:rPr>
  </w:style>
  <w:style w:type="character" w:customStyle="1" w:styleId="CORPOPADROChar">
    <w:name w:val="CORPO PADRÃO Char"/>
    <w:basedOn w:val="Fontepargpadro"/>
    <w:link w:val="CORPOPADRO"/>
    <w:rsid w:val="0060555F"/>
    <w:rPr>
      <w:rFonts w:ascii="Arial" w:eastAsia="Times New Roman" w:hAnsi="Arial" w:cs="Times New Roman"/>
      <w:snapToGrid w:val="0"/>
      <w:color w:val="000000"/>
      <w:sz w:val="24"/>
      <w:szCs w:val="24"/>
    </w:rPr>
  </w:style>
  <w:style w:type="paragraph" w:customStyle="1" w:styleId="TRANSCRIOLEI">
    <w:name w:val="TRANSCRIÇÃO LEI"/>
    <w:basedOn w:val="Normal"/>
    <w:uiPriority w:val="1"/>
    <w:qFormat/>
    <w:rsid w:val="0060555F"/>
    <w:pPr>
      <w:spacing w:after="120"/>
      <w:ind w:left="2268"/>
      <w:jc w:val="both"/>
    </w:pPr>
    <w:rPr>
      <w:rFonts w:ascii="Arial" w:eastAsia="Times New Roman" w:hAnsi="Arial" w:cs="Times New Roman"/>
      <w:szCs w:val="24"/>
    </w:rPr>
  </w:style>
  <w:style w:type="paragraph" w:customStyle="1" w:styleId="EMENTA">
    <w:name w:val="EMENTA"/>
    <w:basedOn w:val="Normal"/>
    <w:next w:val="Normal"/>
    <w:qFormat/>
    <w:rsid w:val="00213564"/>
    <w:pPr>
      <w:widowControl w:val="0"/>
      <w:spacing w:before="720" w:after="480" w:line="240" w:lineRule="auto"/>
      <w:ind w:left="3686" w:firstLine="567"/>
      <w:jc w:val="both"/>
    </w:pPr>
    <w:rPr>
      <w:rFonts w:ascii="Arial" w:eastAsia="Times New Roman" w:hAnsi="Arial" w:cs="Times New Roman"/>
      <w:snapToGrid w:val="0"/>
      <w:color w:val="000000"/>
      <w:sz w:val="24"/>
      <w:szCs w:val="24"/>
    </w:rPr>
  </w:style>
  <w:style w:type="paragraph" w:styleId="Textodebalo">
    <w:name w:val="Balloon Text"/>
    <w:basedOn w:val="Normal"/>
    <w:link w:val="TextodebaloChar"/>
    <w:uiPriority w:val="99"/>
    <w:semiHidden/>
    <w:unhideWhenUsed/>
    <w:rsid w:val="003433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3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0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PADRO">
    <w:name w:val="CORPO PADRÃO"/>
    <w:link w:val="CORPOPADROChar"/>
    <w:qFormat/>
    <w:rsid w:val="0060555F"/>
    <w:pPr>
      <w:spacing w:after="120" w:line="360" w:lineRule="auto"/>
      <w:ind w:firstLine="1701"/>
      <w:jc w:val="both"/>
    </w:pPr>
    <w:rPr>
      <w:rFonts w:ascii="Arial" w:eastAsia="Times New Roman" w:hAnsi="Arial" w:cs="Times New Roman"/>
      <w:snapToGrid w:val="0"/>
      <w:color w:val="000000"/>
      <w:sz w:val="24"/>
      <w:szCs w:val="24"/>
    </w:rPr>
  </w:style>
  <w:style w:type="character" w:customStyle="1" w:styleId="CORPOPADROChar">
    <w:name w:val="CORPO PADRÃO Char"/>
    <w:basedOn w:val="Fontepargpadro"/>
    <w:link w:val="CORPOPADRO"/>
    <w:rsid w:val="0060555F"/>
    <w:rPr>
      <w:rFonts w:ascii="Arial" w:eastAsia="Times New Roman" w:hAnsi="Arial" w:cs="Times New Roman"/>
      <w:snapToGrid w:val="0"/>
      <w:color w:val="000000"/>
      <w:sz w:val="24"/>
      <w:szCs w:val="24"/>
    </w:rPr>
  </w:style>
  <w:style w:type="paragraph" w:customStyle="1" w:styleId="TRANSCRIOLEI">
    <w:name w:val="TRANSCRIÇÃO LEI"/>
    <w:basedOn w:val="Normal"/>
    <w:uiPriority w:val="1"/>
    <w:qFormat/>
    <w:rsid w:val="0060555F"/>
    <w:pPr>
      <w:spacing w:after="120"/>
      <w:ind w:left="2268"/>
      <w:jc w:val="both"/>
    </w:pPr>
    <w:rPr>
      <w:rFonts w:ascii="Arial" w:eastAsia="Times New Roman" w:hAnsi="Arial" w:cs="Times New Roman"/>
      <w:szCs w:val="24"/>
    </w:rPr>
  </w:style>
  <w:style w:type="paragraph" w:customStyle="1" w:styleId="EMENTA">
    <w:name w:val="EMENTA"/>
    <w:basedOn w:val="Normal"/>
    <w:next w:val="Normal"/>
    <w:qFormat/>
    <w:rsid w:val="00213564"/>
    <w:pPr>
      <w:widowControl w:val="0"/>
      <w:spacing w:before="720" w:after="480" w:line="240" w:lineRule="auto"/>
      <w:ind w:left="3686" w:firstLine="567"/>
      <w:jc w:val="both"/>
    </w:pPr>
    <w:rPr>
      <w:rFonts w:ascii="Arial" w:eastAsia="Times New Roman" w:hAnsi="Arial" w:cs="Times New Roman"/>
      <w:snapToGrid w:val="0"/>
      <w:color w:val="000000"/>
      <w:sz w:val="24"/>
      <w:szCs w:val="24"/>
    </w:rPr>
  </w:style>
  <w:style w:type="paragraph" w:styleId="Textodebalo">
    <w:name w:val="Balloon Text"/>
    <w:basedOn w:val="Normal"/>
    <w:link w:val="TextodebaloChar"/>
    <w:uiPriority w:val="99"/>
    <w:semiHidden/>
    <w:unhideWhenUsed/>
    <w:rsid w:val="003433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3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4193</Words>
  <Characters>22645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CAMARA DOS DEPUTADOS</Company>
  <LinksUpToDate>false</LinksUpToDate>
  <CharactersWithSpaces>26785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2019-10-29T14:42:00Z</cp:lastPrinted>
  <dcterms:created xsi:type="dcterms:W3CDTF">2019-10-29T13:01:00Z</dcterms:created>
  <dcterms:modified xsi:type="dcterms:W3CDTF">2019-10-29T21:56:00Z</dcterms:modified>
</cp:coreProperties>
</file>